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C6785A">
        <w:t>2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CF341C">
        <w:rPr>
          <w:iCs/>
          <w:color w:val="000000"/>
        </w:rPr>
        <w:t xml:space="preserve"> села </w:t>
      </w:r>
      <w:proofErr w:type="spellStart"/>
      <w:r w:rsidR="00CF341C">
        <w:rPr>
          <w:iCs/>
          <w:color w:val="000000"/>
        </w:rPr>
        <w:t>Брукшун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</w:p>
    <w:p w:rsidR="00BF507E" w:rsidRDefault="00BF507E">
      <w:pPr>
        <w:ind w:firstLine="708"/>
        <w:jc w:val="both"/>
        <w:rPr>
          <w:iCs/>
        </w:rPr>
      </w:pPr>
    </w:p>
    <w:p w:rsidR="007E3846" w:rsidRDefault="00CF341C">
      <w:r>
        <w:t>16.06</w:t>
      </w:r>
      <w:r w:rsidR="00383813">
        <w:t>.</w:t>
      </w:r>
      <w:r w:rsidR="00D36041">
        <w:t>20</w:t>
      </w:r>
      <w:r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172CDC" w:rsidP="00172CDC">
      <w:pPr>
        <w:tabs>
          <w:tab w:val="left" w:pos="576"/>
        </w:tabs>
      </w:pPr>
      <w:r w:rsidRPr="00172CDC">
        <w:tab/>
        <w:t>11-00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172CDC">
        <w:rPr>
          <w:iCs/>
          <w:color w:val="000000"/>
        </w:rPr>
        <w:t xml:space="preserve">села </w:t>
      </w:r>
      <w:proofErr w:type="spellStart"/>
      <w:r w:rsidR="00172CDC">
        <w:rPr>
          <w:iCs/>
          <w:color w:val="000000"/>
        </w:rPr>
        <w:t>Брукшун</w:t>
      </w:r>
      <w:proofErr w:type="spellEnd"/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>
        <w:rPr>
          <w:rFonts w:eastAsia="MS Mincho"/>
          <w:color w:val="000000"/>
          <w:lang w:eastAsia="ja-JP"/>
        </w:rPr>
        <w:t>Д</w:t>
      </w:r>
      <w:r w:rsidRPr="004E2B16">
        <w:rPr>
          <w:rFonts w:eastAsia="MS Mincho"/>
          <w:color w:val="000000"/>
          <w:lang w:eastAsia="ja-JP"/>
        </w:rPr>
        <w:t xml:space="preserve">о начала заседания комиссии от </w:t>
      </w:r>
      <w:r>
        <w:rPr>
          <w:rFonts w:eastAsia="MS Mincho"/>
          <w:color w:val="000000"/>
          <w:lang w:eastAsia="ja-JP"/>
        </w:rPr>
        <w:t>33 н</w:t>
      </w:r>
      <w:r w:rsidRPr="004E2B16">
        <w:rPr>
          <w:rFonts w:eastAsia="MS Mincho"/>
          <w:color w:val="000000"/>
          <w:lang w:eastAsia="ja-JP"/>
        </w:rPr>
        <w:t>алогоплательщик</w:t>
      </w:r>
      <w:r>
        <w:rPr>
          <w:rFonts w:eastAsia="MS Mincho"/>
          <w:color w:val="000000"/>
          <w:lang w:eastAsia="ja-JP"/>
        </w:rPr>
        <w:t xml:space="preserve">ов </w:t>
      </w:r>
      <w:r w:rsidRPr="004E2B16">
        <w:rPr>
          <w:rFonts w:eastAsia="MS Mincho"/>
          <w:color w:val="000000"/>
          <w:lang w:eastAsia="ja-JP"/>
        </w:rPr>
        <w:t>представлен</w:t>
      </w:r>
      <w:r>
        <w:rPr>
          <w:rFonts w:eastAsia="MS Mincho"/>
          <w:color w:val="000000"/>
          <w:lang w:eastAsia="ja-JP"/>
        </w:rPr>
        <w:t>ы</w:t>
      </w:r>
      <w:r w:rsidRPr="004E2B16">
        <w:rPr>
          <w:rFonts w:eastAsia="MS Mincho"/>
          <w:color w:val="000000"/>
          <w:lang w:eastAsia="ja-JP"/>
        </w:rPr>
        <w:t xml:space="preserve"> платежн</w:t>
      </w:r>
      <w:r>
        <w:rPr>
          <w:rFonts w:eastAsia="MS Mincho"/>
          <w:color w:val="000000"/>
          <w:lang w:eastAsia="ja-JP"/>
        </w:rPr>
        <w:t>ые</w:t>
      </w:r>
      <w:r w:rsidRPr="004E2B16">
        <w:rPr>
          <w:rFonts w:eastAsia="MS Mincho"/>
          <w:color w:val="000000"/>
          <w:lang w:eastAsia="ja-JP"/>
        </w:rPr>
        <w:t xml:space="preserve"> поручени</w:t>
      </w:r>
      <w:r>
        <w:rPr>
          <w:rFonts w:eastAsia="MS Mincho"/>
          <w:color w:val="000000"/>
          <w:lang w:eastAsia="ja-JP"/>
        </w:rPr>
        <w:t>я</w:t>
      </w:r>
      <w:r w:rsidRPr="004E2B16">
        <w:rPr>
          <w:rFonts w:eastAsia="MS Mincho"/>
          <w:color w:val="000000"/>
          <w:lang w:eastAsia="ja-JP"/>
        </w:rPr>
        <w:t xml:space="preserve"> о погашении задолженности</w:t>
      </w:r>
      <w:r>
        <w:rPr>
          <w:rFonts w:eastAsia="MS Mincho"/>
          <w:color w:val="000000"/>
          <w:lang w:eastAsia="ja-JP"/>
        </w:rPr>
        <w:t xml:space="preserve"> на сумму 130,96</w:t>
      </w:r>
      <w:r w:rsidRPr="00AC5982">
        <w:rPr>
          <w:rFonts w:eastAsia="MS Mincho"/>
          <w:color w:val="000000"/>
          <w:lang w:eastAsia="ja-JP"/>
        </w:rPr>
        <w:t xml:space="preserve"> тысяч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172CDC">
        <w:rPr>
          <w:iCs/>
          <w:color w:val="000000"/>
        </w:rPr>
        <w:t>87</w:t>
      </w:r>
      <w:r w:rsidR="00B444CE" w:rsidRPr="00B444CE">
        <w:rPr>
          <w:iCs/>
          <w:color w:val="000000"/>
        </w:rPr>
        <w:t xml:space="preserve">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172CDC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</w:t>
      </w:r>
      <w:r>
        <w:rPr>
          <w:iCs/>
          <w:color w:val="000000"/>
        </w:rPr>
        <w:t xml:space="preserve"> населением</w:t>
      </w:r>
      <w:r w:rsidR="0019280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села </w:t>
      </w:r>
      <w:proofErr w:type="spellStart"/>
      <w:r>
        <w:rPr>
          <w:iCs/>
          <w:color w:val="000000"/>
        </w:rPr>
        <w:t>Брукшун</w:t>
      </w:r>
      <w:proofErr w:type="spellEnd"/>
      <w:r w:rsidR="00192805" w:rsidRPr="00192805">
        <w:rPr>
          <w:iCs/>
          <w:color w:val="000000"/>
        </w:rPr>
        <w:t xml:space="preserve"> управления по работе с территориями администрации Ипатовского </w:t>
      </w:r>
      <w:r w:rsidR="00192805" w:rsidRPr="00192805">
        <w:rPr>
          <w:iCs/>
          <w:color w:val="000000"/>
        </w:rPr>
        <w:lastRenderedPageBreak/>
        <w:t>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 w:rsidR="00192805">
        <w:rPr>
          <w:bCs/>
          <w:iCs/>
          <w:color w:val="000000"/>
        </w:rPr>
        <w:t xml:space="preserve"> на территории сельских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>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172CDC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172CDC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A92206" w:rsidRDefault="007E3846">
      <w:pPr>
        <w:pStyle w:val="ac"/>
        <w:jc w:val="both"/>
      </w:pPr>
    </w:p>
    <w:sectPr w:rsidR="007E3846" w:rsidRPr="00A92206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B5514"/>
    <w:rsid w:val="001E7870"/>
    <w:rsid w:val="002616F3"/>
    <w:rsid w:val="00281BE1"/>
    <w:rsid w:val="002908A5"/>
    <w:rsid w:val="002D2D7E"/>
    <w:rsid w:val="002F039A"/>
    <w:rsid w:val="0033409E"/>
    <w:rsid w:val="003532DB"/>
    <w:rsid w:val="00383813"/>
    <w:rsid w:val="003B2B27"/>
    <w:rsid w:val="004430A6"/>
    <w:rsid w:val="00466149"/>
    <w:rsid w:val="004A6BC5"/>
    <w:rsid w:val="004E1BF5"/>
    <w:rsid w:val="00511DC6"/>
    <w:rsid w:val="005254EE"/>
    <w:rsid w:val="00572711"/>
    <w:rsid w:val="005A0C21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6EE8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A92206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6785A"/>
    <w:rsid w:val="00C92E07"/>
    <w:rsid w:val="00CD28B7"/>
    <w:rsid w:val="00CD29F1"/>
    <w:rsid w:val="00CF341C"/>
    <w:rsid w:val="00D36041"/>
    <w:rsid w:val="00D93D01"/>
    <w:rsid w:val="00DB2DB9"/>
    <w:rsid w:val="00E16977"/>
    <w:rsid w:val="00E514FD"/>
    <w:rsid w:val="00E61B43"/>
    <w:rsid w:val="00EE2D33"/>
    <w:rsid w:val="00F034C0"/>
    <w:rsid w:val="00F164AA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4</cp:revision>
  <cp:lastPrinted>2023-06-27T07:49:00Z</cp:lastPrinted>
  <dcterms:created xsi:type="dcterms:W3CDTF">2023-06-27T07:49:00Z</dcterms:created>
  <dcterms:modified xsi:type="dcterms:W3CDTF">2023-06-28T12:54:00Z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