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F17F1B">
        <w:rPr>
          <w:rFonts w:ascii="Times New Roman" w:hAnsi="Times New Roman" w:cs="Times New Roman"/>
          <w:bCs/>
          <w:sz w:val="24"/>
          <w:szCs w:val="24"/>
        </w:rPr>
        <w:t xml:space="preserve">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="0093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F1B">
        <w:rPr>
          <w:rFonts w:ascii="Times New Roman" w:hAnsi="Times New Roman" w:cs="Times New Roman"/>
          <w:b/>
          <w:sz w:val="24"/>
          <w:szCs w:val="24"/>
        </w:rPr>
        <w:t>ОРГАНИЗАЦИЙ И ГРАЖДАН В СВЯЗИ С ПРОВЕДЕНИЕМ АНАЛИЗА МУНИЦИПАЛЬНЫХ НОРМАТИВНЫХ ПРАВОВЫХ АКТОВ АДМИНИСТРАЦИИ ИПАТОВСКОГО ГОРОДСКОГО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 администрации Ипатовского городского округа Ставропольского края (проекта муниципального нормативного правового акта администрации Ипатовского городского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«О передаче объектов муниципальной собственности в аренду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937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8170A5"/>
    <w:rsid w:val="009376EB"/>
    <w:rsid w:val="00D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2021-12-14T14:10:00Z</dcterms:created>
  <dcterms:modified xsi:type="dcterms:W3CDTF">2022-05-24T07:33:00Z</dcterms:modified>
</cp:coreProperties>
</file>