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FB" w:rsidRPr="00BB5379" w:rsidRDefault="00502AFB" w:rsidP="00BB5379">
      <w:pPr>
        <w:jc w:val="center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АДМИНИСТРАЦИ</w:t>
      </w:r>
      <w:r w:rsidR="00BB5379" w:rsidRPr="00BB5379">
        <w:rPr>
          <w:rFonts w:ascii="Arial" w:hAnsi="Arial" w:cs="Arial"/>
          <w:b/>
          <w:sz w:val="32"/>
          <w:szCs w:val="24"/>
        </w:rPr>
        <w:t>Я</w:t>
      </w:r>
      <w:r w:rsidRPr="00BB5379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BB5379" w:rsidRPr="00BB5379">
        <w:rPr>
          <w:rFonts w:ascii="Arial" w:hAnsi="Arial" w:cs="Arial"/>
          <w:b/>
          <w:sz w:val="32"/>
          <w:szCs w:val="24"/>
        </w:rPr>
        <w:t xml:space="preserve"> </w:t>
      </w:r>
      <w:r w:rsidRPr="00BB5379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502AFB" w:rsidRPr="00BB5379" w:rsidRDefault="00502AFB" w:rsidP="00BB5379">
      <w:pPr>
        <w:jc w:val="center"/>
        <w:rPr>
          <w:rFonts w:ascii="Arial" w:hAnsi="Arial" w:cs="Arial"/>
          <w:b/>
          <w:sz w:val="32"/>
          <w:szCs w:val="24"/>
        </w:rPr>
      </w:pPr>
    </w:p>
    <w:p w:rsidR="00BB5379" w:rsidRPr="00BB5379" w:rsidRDefault="00BB5379" w:rsidP="00BB5379">
      <w:pPr>
        <w:jc w:val="center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ПОСТАНОВЛЕНИЕ</w:t>
      </w:r>
    </w:p>
    <w:p w:rsidR="00502AFB" w:rsidRPr="00BB5379" w:rsidRDefault="00BB5379" w:rsidP="00BB5379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BB5379">
        <w:rPr>
          <w:rFonts w:ascii="Arial" w:hAnsi="Arial" w:cs="Arial"/>
          <w:b/>
          <w:sz w:val="32"/>
          <w:szCs w:val="24"/>
        </w:rPr>
        <w:t xml:space="preserve">от </w:t>
      </w:r>
      <w:r w:rsidR="00502AFB" w:rsidRPr="00BB5379">
        <w:rPr>
          <w:rFonts w:ascii="Arial" w:hAnsi="Arial" w:cs="Arial"/>
          <w:b/>
          <w:sz w:val="32"/>
          <w:szCs w:val="24"/>
        </w:rPr>
        <w:t>31 октября 2023 г.</w:t>
      </w:r>
      <w:r w:rsidRPr="00BB5379">
        <w:rPr>
          <w:rFonts w:ascii="Arial" w:hAnsi="Arial" w:cs="Arial"/>
          <w:b/>
          <w:sz w:val="32"/>
          <w:szCs w:val="24"/>
        </w:rPr>
        <w:t xml:space="preserve"> </w:t>
      </w:r>
      <w:r w:rsidR="00502AFB" w:rsidRPr="00BB5379">
        <w:rPr>
          <w:rFonts w:ascii="Arial" w:hAnsi="Arial" w:cs="Arial"/>
          <w:b/>
          <w:sz w:val="32"/>
          <w:szCs w:val="24"/>
        </w:rPr>
        <w:t>№ 1436</w:t>
      </w:r>
    </w:p>
    <w:bookmarkEnd w:id="0"/>
    <w:p w:rsidR="00502AFB" w:rsidRPr="00BB5379" w:rsidRDefault="00502AFB" w:rsidP="00BB5379">
      <w:pPr>
        <w:jc w:val="center"/>
        <w:rPr>
          <w:rFonts w:ascii="Arial" w:hAnsi="Arial" w:cs="Arial"/>
          <w:b/>
          <w:sz w:val="32"/>
          <w:szCs w:val="24"/>
        </w:rPr>
      </w:pPr>
    </w:p>
    <w:p w:rsidR="00494FC3" w:rsidRPr="00BB5379" w:rsidRDefault="00BB5379" w:rsidP="00BB5379">
      <w:pPr>
        <w:jc w:val="center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494FC3" w:rsidRPr="00BB5379" w:rsidRDefault="00494FC3" w:rsidP="00BB5379">
      <w:pPr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В соответствии с решением Думы Ипатовского городского округа Ставропольского края от 22 августа 2023 г. № 96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ПОСТАНОВЛЯЕТ:</w:t>
      </w: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31 марта 2021 г. № 396, от 10 ноября 2021 г. № 1698, от 30 декабря 2021г. №2019,от 01 июня 2022 г. №793, от 27 сентября 2022 г. № 1495, от 28 декабря 2022 г. № 2010, от 23 июня 2023 г. № 712).</w:t>
      </w: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lastRenderedPageBreak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городского округа Ставропольского края Л.С. </w:t>
      </w:r>
      <w:proofErr w:type="spellStart"/>
      <w:r w:rsidRPr="00BB5379">
        <w:rPr>
          <w:rFonts w:ascii="Arial" w:hAnsi="Arial" w:cs="Arial"/>
          <w:sz w:val="24"/>
          <w:szCs w:val="24"/>
        </w:rPr>
        <w:t>Дугинец</w:t>
      </w:r>
      <w:proofErr w:type="spellEnd"/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rPr>
          <w:rFonts w:ascii="Arial" w:hAnsi="Arial" w:cs="Arial"/>
          <w:sz w:val="24"/>
          <w:szCs w:val="24"/>
        </w:rPr>
      </w:pPr>
    </w:p>
    <w:p w:rsidR="00494FC3" w:rsidRPr="00BB5379" w:rsidRDefault="00494FC3" w:rsidP="00BB537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494FC3" w:rsidRPr="00BB5379" w:rsidRDefault="00494FC3" w:rsidP="00BB537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муниципального округа</w:t>
      </w:r>
    </w:p>
    <w:p w:rsidR="00BB5379" w:rsidRDefault="00494FC3" w:rsidP="00BB537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Ставропольского края</w:t>
      </w:r>
    </w:p>
    <w:p w:rsidR="00494FC3" w:rsidRPr="00BB5379" w:rsidRDefault="00BB5379" w:rsidP="00BB5379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B5379">
        <w:rPr>
          <w:rFonts w:ascii="Arial" w:hAnsi="Arial" w:cs="Arial"/>
          <w:sz w:val="24"/>
          <w:szCs w:val="24"/>
        </w:rPr>
        <w:t>В.Н. ШЕЙКИНА</w:t>
      </w:r>
    </w:p>
    <w:p w:rsidR="00494FC3" w:rsidRDefault="00494FC3" w:rsidP="00BB537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Утверждены</w:t>
      </w:r>
    </w:p>
    <w:p w:rsidR="00BB5379" w:rsidRDefault="00BB5379" w:rsidP="00BB537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BB5379" w:rsidRDefault="00BB5379" w:rsidP="00BB537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B5379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BB5379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BB5379" w:rsidRPr="00BB5379" w:rsidRDefault="00BB5379" w:rsidP="00BB537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BB5379" w:rsidRPr="00BB5379" w:rsidRDefault="00BB5379" w:rsidP="00BB537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от 31 октября 2023 г. № 1436</w:t>
      </w:r>
    </w:p>
    <w:p w:rsidR="00BB5379" w:rsidRPr="00BB5379" w:rsidRDefault="00BB5379" w:rsidP="00BB5379">
      <w:pPr>
        <w:ind w:firstLine="567"/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ind w:firstLine="567"/>
        <w:rPr>
          <w:rFonts w:ascii="Arial" w:hAnsi="Arial" w:cs="Arial"/>
          <w:b/>
          <w:sz w:val="32"/>
          <w:szCs w:val="24"/>
        </w:rPr>
      </w:pPr>
    </w:p>
    <w:p w:rsidR="00BB5379" w:rsidRPr="00BB5379" w:rsidRDefault="00BB5379" w:rsidP="00BB537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BB5379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BB5379" w:rsidRPr="00BB5379" w:rsidRDefault="00BB5379" w:rsidP="00BB5379">
      <w:pPr>
        <w:ind w:firstLine="567"/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tabs>
          <w:tab w:val="center" w:pos="851"/>
          <w:tab w:val="center" w:pos="993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B5379">
        <w:rPr>
          <w:rFonts w:ascii="Arial" w:hAnsi="Arial" w:cs="Arial"/>
          <w:sz w:val="24"/>
          <w:szCs w:val="24"/>
        </w:rPr>
        <w:t xml:space="preserve">Позицию «Объемы и источники финансового обеспечения Программы» </w:t>
      </w:r>
      <w:proofErr w:type="spellStart"/>
      <w:r w:rsidRPr="00BB5379">
        <w:rPr>
          <w:rFonts w:ascii="Arial" w:hAnsi="Arial" w:cs="Arial"/>
          <w:sz w:val="24"/>
          <w:szCs w:val="24"/>
        </w:rPr>
        <w:t>паспортамуниципальной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Ипатовском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</w:t>
      </w:r>
      <w:proofErr w:type="gramStart"/>
      <w:r w:rsidRPr="00BB5379">
        <w:rPr>
          <w:rFonts w:ascii="Arial" w:hAnsi="Arial" w:cs="Arial"/>
          <w:sz w:val="24"/>
          <w:szCs w:val="24"/>
        </w:rPr>
        <w:t>Программа)изложить</w:t>
      </w:r>
      <w:proofErr w:type="gramEnd"/>
      <w:r w:rsidRPr="00BB5379">
        <w:rPr>
          <w:rFonts w:ascii="Arial" w:hAnsi="Arial" w:cs="Arial"/>
          <w:sz w:val="24"/>
          <w:szCs w:val="24"/>
        </w:rPr>
        <w:t xml:space="preserve">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BB5379" w:rsidRPr="00BB5379" w:rsidTr="00BB5379">
        <w:tc>
          <w:tcPr>
            <w:tcW w:w="2518" w:type="dxa"/>
          </w:tcPr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BB5379" w:rsidRPr="00BB5379" w:rsidRDefault="00BB5379" w:rsidP="00BB5379">
            <w:pPr>
              <w:pStyle w:val="a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Программы</w:t>
            </w:r>
          </w:p>
          <w:p w:rsidR="00BB5379" w:rsidRPr="00BB5379" w:rsidRDefault="00BB5379" w:rsidP="00BB5379">
            <w:pPr>
              <w:pStyle w:val="a9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Объем финансового обеспечения Программы составит – 653414,31 тыс. рублей, в том числе по источникам финансового обеспечения: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BB5379">
              <w:rPr>
                <w:b w:val="0"/>
                <w:bCs w:val="0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b w:val="0"/>
                <w:bCs w:val="0"/>
                <w:sz w:val="24"/>
                <w:szCs w:val="24"/>
              </w:rPr>
              <w:t xml:space="preserve"> городского округа Ставропольского края – 583530,80 тыс. рублей, в том числе по годам: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2021 году – 91441,38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2022 году – 111079,97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lastRenderedPageBreak/>
              <w:t>в 2023 году – 110241,23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2024 году – 90409,14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2025 году – 90179,54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2026 году – 90179,54 тыс. рублей,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 xml:space="preserve">бюджет Ставропольского края– 69883,51 тыс. рублей, в том числе по годам: 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2021 году – 25676,60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2022 году – 26884,88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2023 году – 17322,03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BB5379" w:rsidRPr="00BB5379" w:rsidRDefault="00BB5379" w:rsidP="00BB537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BB5379" w:rsidRPr="00BB5379" w:rsidRDefault="00BB5379" w:rsidP="00BB5379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BB5379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</w:tc>
      </w:tr>
    </w:tbl>
    <w:p w:rsidR="00BB5379" w:rsidRPr="00BB5379" w:rsidRDefault="00BB5379" w:rsidP="00BB5379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B5379">
        <w:rPr>
          <w:rFonts w:ascii="Arial" w:hAnsi="Arial" w:cs="Arial"/>
          <w:sz w:val="24"/>
          <w:szCs w:val="24"/>
        </w:rPr>
        <w:t>В паспорте подпрограммы «</w:t>
      </w:r>
      <w:r w:rsidRPr="00BB5379">
        <w:rPr>
          <w:rFonts w:ascii="Arial" w:eastAsia="CourierNewPSMT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BB5379">
        <w:rPr>
          <w:rFonts w:ascii="Arial" w:eastAsia="CourierNewPSMT" w:hAnsi="Arial" w:cs="Arial"/>
          <w:sz w:val="24"/>
          <w:szCs w:val="24"/>
        </w:rPr>
        <w:t>Ипатовского</w:t>
      </w:r>
      <w:proofErr w:type="spellEnd"/>
      <w:r w:rsidRPr="00BB5379">
        <w:rPr>
          <w:rFonts w:ascii="Arial" w:eastAsia="CourierNewPSMT" w:hAnsi="Arial" w:cs="Arial"/>
          <w:sz w:val="24"/>
          <w:szCs w:val="24"/>
        </w:rPr>
        <w:t xml:space="preserve"> городского округа Ставропольского края</w:t>
      </w:r>
      <w:r w:rsidRPr="00BB5379">
        <w:rPr>
          <w:rFonts w:ascii="Arial" w:hAnsi="Arial" w:cs="Arial"/>
          <w:sz w:val="24"/>
          <w:szCs w:val="24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Ипатовском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2 к Программе:</w:t>
      </w:r>
    </w:p>
    <w:p w:rsidR="00BB5379" w:rsidRPr="00BB5379" w:rsidRDefault="00BB5379" w:rsidP="00BB5379">
      <w:pPr>
        <w:pStyle w:val="a5"/>
        <w:ind w:left="0"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2.1. Позицию «Показатели решения задач подпрограммы» дополнить абзацем следующего содержания:</w:t>
      </w:r>
    </w:p>
    <w:p w:rsidR="00BB5379" w:rsidRPr="00BB5379" w:rsidRDefault="00BB5379" w:rsidP="00BB5379">
      <w:pPr>
        <w:pStyle w:val="a5"/>
        <w:ind w:left="0"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 xml:space="preserve"> «доля отремонтированных детских площадок к плану.»;</w:t>
      </w:r>
    </w:p>
    <w:p w:rsidR="00BB5379" w:rsidRPr="00BB5379" w:rsidRDefault="00BB5379" w:rsidP="00BB5379">
      <w:pPr>
        <w:pStyle w:val="a5"/>
        <w:ind w:left="0"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 xml:space="preserve">2.2. Позицию «Объемы и источники финансового обеспечения </w:t>
      </w:r>
      <w:proofErr w:type="spellStart"/>
      <w:proofErr w:type="gramStart"/>
      <w:r w:rsidRPr="00BB5379">
        <w:rPr>
          <w:rFonts w:ascii="Arial" w:hAnsi="Arial" w:cs="Arial"/>
          <w:sz w:val="24"/>
          <w:szCs w:val="24"/>
        </w:rPr>
        <w:t>подпрограммы»изложить</w:t>
      </w:r>
      <w:proofErr w:type="spellEnd"/>
      <w:proofErr w:type="gramEnd"/>
      <w:r w:rsidRPr="00BB5379">
        <w:rPr>
          <w:rFonts w:ascii="Arial" w:hAnsi="Arial" w:cs="Arial"/>
          <w:sz w:val="24"/>
          <w:szCs w:val="24"/>
        </w:rPr>
        <w:t xml:space="preserve">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BB5379" w:rsidRPr="00BB5379" w:rsidTr="00BB5379">
        <w:tc>
          <w:tcPr>
            <w:tcW w:w="4716" w:type="dxa"/>
            <w:hideMark/>
          </w:tcPr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640" w:type="dxa"/>
          </w:tcPr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239361,71 тыс. рублей, в том числе по источникам финансового обеспечения: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173173,18тыс. рублей, в том числе по годам: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2021 году – 39276,19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2022 году – 51095,40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2023 году – 34353,14тыс.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2024 году – 16136,43тыс.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2025 году – 16156,01тыс.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2026 году – 16156,01тыс. рублей,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66188,53 тыс. рублей, в том числе по годам: 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2021 году – 21981,62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2022 году – 26884,88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2023 году – 17322,03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BB5379" w:rsidRPr="00BB5379" w:rsidTr="00BB5379">
        <w:tc>
          <w:tcPr>
            <w:tcW w:w="4716" w:type="dxa"/>
          </w:tcPr>
          <w:p w:rsidR="00BB5379" w:rsidRPr="00BB5379" w:rsidRDefault="00BB5379" w:rsidP="00BB537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:rsidR="00BB5379" w:rsidRPr="00BB5379" w:rsidRDefault="00BB5379" w:rsidP="00BB537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79" w:rsidRPr="0019757D" w:rsidRDefault="0019757D" w:rsidP="0019757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BB5379" w:rsidRPr="0019757D">
        <w:rPr>
          <w:rFonts w:ascii="Arial" w:hAnsi="Arial" w:cs="Arial"/>
          <w:sz w:val="24"/>
          <w:szCs w:val="24"/>
        </w:rPr>
        <w:t xml:space="preserve">Позицию «Ожидаемые конечные результаты реализации подпрограммы» дополнить </w:t>
      </w:r>
      <w:proofErr w:type="spellStart"/>
      <w:r w:rsidR="00BB5379" w:rsidRPr="0019757D">
        <w:rPr>
          <w:rFonts w:ascii="Arial" w:hAnsi="Arial" w:cs="Arial"/>
          <w:sz w:val="24"/>
          <w:szCs w:val="24"/>
        </w:rPr>
        <w:t>абзацемследующего</w:t>
      </w:r>
      <w:proofErr w:type="spellEnd"/>
      <w:r w:rsidR="00BB5379" w:rsidRPr="0019757D">
        <w:rPr>
          <w:rFonts w:ascii="Arial" w:hAnsi="Arial" w:cs="Arial"/>
          <w:sz w:val="24"/>
          <w:szCs w:val="24"/>
        </w:rPr>
        <w:t xml:space="preserve"> содержания:</w:t>
      </w:r>
    </w:p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«доля отремонтированных детских площадок до 2026 г. 100%».</w:t>
      </w:r>
    </w:p>
    <w:p w:rsidR="00BB5379" w:rsidRPr="0019757D" w:rsidRDefault="0019757D" w:rsidP="0019757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2.4. </w:t>
      </w:r>
      <w:r w:rsidR="00BB5379" w:rsidRPr="0019757D">
        <w:rPr>
          <w:rFonts w:ascii="Arial" w:hAnsi="Arial" w:cs="Arial"/>
          <w:sz w:val="24"/>
          <w:szCs w:val="24"/>
        </w:rPr>
        <w:t>В разделе «Характеристика основных мероприятий подпрограммы»:</w:t>
      </w:r>
    </w:p>
    <w:p w:rsidR="00BB5379" w:rsidRPr="0019757D" w:rsidRDefault="0019757D" w:rsidP="0019757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2.4.1. </w:t>
      </w:r>
      <w:r w:rsidR="00BB5379" w:rsidRPr="0019757D">
        <w:rPr>
          <w:rFonts w:ascii="Arial" w:hAnsi="Arial" w:cs="Arial"/>
          <w:sz w:val="24"/>
          <w:szCs w:val="24"/>
        </w:rPr>
        <w:t>Пункт 1 дополнить подпунктом «10» следующего содержания:</w:t>
      </w:r>
    </w:p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«10) Мероприятия по ремонту детских площадок.</w:t>
      </w:r>
    </w:p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Выполнение данного мероприятия предусматривает реализацию мероприятий по ремонту детских площадок 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ситуаций»;</w:t>
      </w:r>
    </w:p>
    <w:p w:rsidR="00BB5379" w:rsidRPr="0019757D" w:rsidRDefault="0019757D" w:rsidP="0019757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2.4.2. </w:t>
      </w:r>
      <w:r w:rsidR="00BB5379" w:rsidRPr="0019757D">
        <w:rPr>
          <w:rFonts w:ascii="Arial" w:hAnsi="Arial" w:cs="Arial"/>
          <w:sz w:val="24"/>
          <w:szCs w:val="24"/>
        </w:rPr>
        <w:t>Пункт 2 изложить в следующей редакции:</w:t>
      </w:r>
    </w:p>
    <w:p w:rsidR="00BB5379" w:rsidRPr="00BB5379" w:rsidRDefault="00BB5379" w:rsidP="0019757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 xml:space="preserve">«2. Непосредственным результатом реализации основных мероприятий станет: обеспечение содержания территории мест захоронения, благоустройство территорий общего пользования, вывоз твердых коммунальных отходов с общественных территорий на территории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городского округа Ставропольского края, увеличение количества работающих световых фонарей уличного освещения, покос сорной растительности на общественных территориях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городского округа Ставропольского края, благоустройство территории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городского округа Ставропольского края в рамках реализация государственной программы Российской Федерации «Комплексное развития сельских территорий», обустройство мест массового отдыха, увеличение соответствующих требованиям безопасности детских площадок, увеличение количества контейнеров для смешанного и раздельного накопления твердых коммунальных отходов.».</w:t>
      </w:r>
    </w:p>
    <w:p w:rsidR="00BB5379" w:rsidRPr="00BB5379" w:rsidRDefault="00BB5379" w:rsidP="00BB5379">
      <w:pPr>
        <w:ind w:left="1134"/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ind w:firstLine="709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 xml:space="preserve">4. Позицию «Объемы и источники финансового обеспечения подпрограммы» паспорта 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Ипатовском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BB5379">
        <w:rPr>
          <w:rFonts w:ascii="Arial" w:hAnsi="Arial" w:cs="Arial"/>
          <w:sz w:val="24"/>
          <w:szCs w:val="24"/>
        </w:rPr>
        <w:t>Ипатовском</w:t>
      </w:r>
      <w:proofErr w:type="spellEnd"/>
      <w:r w:rsidRPr="00BB5379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BB5379" w:rsidRPr="00BB5379" w:rsidTr="00BB5379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Объемы и источники финансового обеспечения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подпрогаммы</w:t>
            </w:r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городского округа Ставропольского края составит – 48403,94 тыс. рублей, в том числе по годам: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в 2021 году – 6541,44 тыс. рублей;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в 2022 году – 7461,16тыс. рублей;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в 2023 году – 9087,57 тыс. рублей;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в 2024 году – 8437,91 тыс. рублей;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в 2025 году – 8437,93 тыс. рублей;</w:t>
            </w:r>
          </w:p>
          <w:p w:rsidR="00BB5379" w:rsidRPr="00BB5379" w:rsidRDefault="00BB5379" w:rsidP="00BB5379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в 2026 году – 8437,93 тыс. рублей.».</w:t>
            </w:r>
          </w:p>
          <w:p w:rsidR="00BB5379" w:rsidRPr="00BB5379" w:rsidRDefault="00BB5379" w:rsidP="00BB53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5. З</w:t>
      </w:r>
      <w:r w:rsidRPr="00BB5379">
        <w:rPr>
          <w:rFonts w:ascii="Arial" w:eastAsia="Calibri" w:hAnsi="Arial" w:cs="Arial"/>
          <w:sz w:val="24"/>
          <w:szCs w:val="24"/>
          <w:lang w:eastAsia="en-US"/>
        </w:rPr>
        <w:t xml:space="preserve">адачу 2 «Повышение качества и комфорта среды проживания населения </w:t>
      </w:r>
      <w:proofErr w:type="spellStart"/>
      <w:r w:rsidRPr="00BB5379">
        <w:rPr>
          <w:rFonts w:ascii="Arial" w:eastAsia="Calibri" w:hAnsi="Arial" w:cs="Arial"/>
          <w:sz w:val="24"/>
          <w:szCs w:val="24"/>
          <w:lang w:eastAsia="en-US"/>
        </w:rPr>
        <w:t>Ипатовского</w:t>
      </w:r>
      <w:proofErr w:type="spellEnd"/>
      <w:r w:rsidRPr="00BB5379">
        <w:rPr>
          <w:rFonts w:ascii="Arial" w:eastAsia="Calibri" w:hAnsi="Arial" w:cs="Arial"/>
          <w:sz w:val="24"/>
          <w:szCs w:val="24"/>
          <w:lang w:eastAsia="en-US"/>
        </w:rPr>
        <w:t xml:space="preserve"> городского округа Ставропольского края» приложения 5 к Программе </w:t>
      </w:r>
      <w:r w:rsidRPr="00BB5379">
        <w:rPr>
          <w:rFonts w:ascii="Arial" w:hAnsi="Arial" w:cs="Arial"/>
          <w:sz w:val="24"/>
          <w:szCs w:val="24"/>
        </w:rPr>
        <w:t xml:space="preserve">дополнить строкой </w:t>
      </w:r>
      <w:r w:rsidRPr="00BB5379">
        <w:rPr>
          <w:rFonts w:ascii="Arial" w:hAnsi="Arial" w:cs="Arial"/>
          <w:sz w:val="24"/>
          <w:szCs w:val="24"/>
          <w:lang w:val="en-US"/>
        </w:rPr>
        <w:t>II</w:t>
      </w:r>
      <w:r w:rsidRPr="00BB5379">
        <w:rPr>
          <w:rFonts w:ascii="Arial" w:hAnsi="Arial" w:cs="Arial"/>
          <w:sz w:val="24"/>
          <w:szCs w:val="24"/>
        </w:rPr>
        <w:t>.2.9. следующего содержания:</w:t>
      </w:r>
    </w:p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075"/>
        <w:gridCol w:w="567"/>
        <w:gridCol w:w="760"/>
        <w:gridCol w:w="709"/>
        <w:gridCol w:w="709"/>
        <w:gridCol w:w="708"/>
        <w:gridCol w:w="851"/>
        <w:gridCol w:w="709"/>
        <w:gridCol w:w="850"/>
        <w:gridCol w:w="851"/>
      </w:tblGrid>
      <w:tr w:rsidR="00BB5379" w:rsidRPr="00BB5379" w:rsidTr="00BB5379">
        <w:tc>
          <w:tcPr>
            <w:tcW w:w="771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II.2.9.</w:t>
            </w:r>
          </w:p>
        </w:tc>
        <w:tc>
          <w:tcPr>
            <w:tcW w:w="2075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Доля отремонтированных детских и спортивных площадок к плану</w:t>
            </w:r>
          </w:p>
        </w:tc>
        <w:tc>
          <w:tcPr>
            <w:tcW w:w="567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760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BB5379" w:rsidRPr="00BB5379" w:rsidRDefault="00BB5379" w:rsidP="00BB53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BB5379" w:rsidRPr="00BB5379" w:rsidRDefault="00BB5379" w:rsidP="00BB5379">
      <w:pPr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lastRenderedPageBreak/>
        <w:t>»;</w:t>
      </w:r>
    </w:p>
    <w:p w:rsidR="00BB5379" w:rsidRPr="00BB5379" w:rsidRDefault="00BB5379" w:rsidP="00BB5379">
      <w:pPr>
        <w:jc w:val="right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»</w:t>
      </w:r>
    </w:p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6.Подраздел</w:t>
      </w:r>
      <w:r w:rsidRPr="00BB5379">
        <w:rPr>
          <w:rFonts w:ascii="Arial" w:hAnsi="Arial" w:cs="Arial"/>
          <w:sz w:val="24"/>
          <w:szCs w:val="24"/>
          <w:lang w:val="en-US"/>
        </w:rPr>
        <w:t>II</w:t>
      </w:r>
      <w:r w:rsidRPr="00BB5379">
        <w:rPr>
          <w:rFonts w:ascii="Arial" w:hAnsi="Arial" w:cs="Arial"/>
          <w:sz w:val="24"/>
          <w:szCs w:val="24"/>
        </w:rPr>
        <w:t>.2. приложения 6 к Программе</w:t>
      </w:r>
      <w:r w:rsidR="0019757D">
        <w:rPr>
          <w:rFonts w:ascii="Arial" w:hAnsi="Arial" w:cs="Arial"/>
          <w:sz w:val="24"/>
          <w:szCs w:val="24"/>
        </w:rPr>
        <w:t xml:space="preserve"> </w:t>
      </w:r>
      <w:r w:rsidRPr="00BB5379">
        <w:rPr>
          <w:rFonts w:ascii="Arial" w:hAnsi="Arial" w:cs="Arial"/>
          <w:sz w:val="24"/>
          <w:szCs w:val="24"/>
        </w:rPr>
        <w:t xml:space="preserve">дополнить строкой </w:t>
      </w:r>
      <w:r w:rsidRPr="00BB5379">
        <w:rPr>
          <w:rFonts w:ascii="Arial" w:hAnsi="Arial" w:cs="Arial"/>
          <w:sz w:val="24"/>
          <w:szCs w:val="24"/>
          <w:lang w:val="en-US"/>
        </w:rPr>
        <w:t>II</w:t>
      </w:r>
      <w:r w:rsidRPr="00BB5379">
        <w:rPr>
          <w:rFonts w:ascii="Arial" w:hAnsi="Arial" w:cs="Arial"/>
          <w:sz w:val="24"/>
          <w:szCs w:val="24"/>
        </w:rPr>
        <w:t>.2.6. следующего содержания:</w:t>
      </w:r>
    </w:p>
    <w:p w:rsidR="00BB5379" w:rsidRPr="00BB5379" w:rsidRDefault="00BB5379" w:rsidP="00BB5379">
      <w:pPr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665"/>
        <w:gridCol w:w="2123"/>
        <w:gridCol w:w="1489"/>
        <w:gridCol w:w="719"/>
        <w:gridCol w:w="719"/>
        <w:gridCol w:w="2356"/>
      </w:tblGrid>
      <w:tr w:rsidR="00BB5379" w:rsidRPr="00BB5379" w:rsidTr="00BB5379">
        <w:tc>
          <w:tcPr>
            <w:tcW w:w="894" w:type="dxa"/>
          </w:tcPr>
          <w:p w:rsidR="00BB5379" w:rsidRPr="00BB5379" w:rsidRDefault="00BB5379" w:rsidP="00BB53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II.2.6.</w:t>
            </w:r>
          </w:p>
        </w:tc>
        <w:tc>
          <w:tcPr>
            <w:tcW w:w="1900" w:type="dxa"/>
          </w:tcPr>
          <w:p w:rsidR="00BB5379" w:rsidRPr="00BB5379" w:rsidRDefault="00BB5379" w:rsidP="00BB53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Ремонт детских площадок</w:t>
            </w:r>
          </w:p>
        </w:tc>
        <w:tc>
          <w:tcPr>
            <w:tcW w:w="1355" w:type="dxa"/>
          </w:tcPr>
          <w:p w:rsidR="00BB5379" w:rsidRPr="00BB5379" w:rsidRDefault="00BB5379" w:rsidP="00BB53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355" w:type="dxa"/>
          </w:tcPr>
          <w:p w:rsidR="00BB5379" w:rsidRPr="00BB5379" w:rsidRDefault="00BB5379" w:rsidP="00BB53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355" w:type="dxa"/>
          </w:tcPr>
          <w:p w:rsidR="00BB5379" w:rsidRPr="00BB5379" w:rsidRDefault="00BB5379" w:rsidP="00BB53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356" w:type="dxa"/>
          </w:tcPr>
          <w:p w:rsidR="00BB5379" w:rsidRPr="00BB5379" w:rsidRDefault="00BB5379" w:rsidP="00BB53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1356" w:type="dxa"/>
          </w:tcPr>
          <w:p w:rsidR="00BB5379" w:rsidRPr="00BB5379" w:rsidRDefault="00BB5379" w:rsidP="00BB53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на реализацию мероприятий по ремонту детских площадок;</w:t>
            </w:r>
          </w:p>
          <w:p w:rsidR="00BB5379" w:rsidRPr="00BB5379" w:rsidRDefault="00BB5379" w:rsidP="00BB53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доля отремонтированных детских площадок к плану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B5379" w:rsidRPr="00BB5379" w:rsidRDefault="00BB5379" w:rsidP="00BB5379">
      <w:pPr>
        <w:rPr>
          <w:rFonts w:ascii="Arial" w:hAnsi="Arial" w:cs="Arial"/>
          <w:sz w:val="24"/>
          <w:szCs w:val="24"/>
        </w:rPr>
      </w:pPr>
    </w:p>
    <w:p w:rsidR="00BB5379" w:rsidRPr="00BB5379" w:rsidRDefault="00BB5379" w:rsidP="00BB5379">
      <w:pPr>
        <w:rPr>
          <w:rFonts w:ascii="Arial" w:hAnsi="Arial" w:cs="Arial"/>
          <w:sz w:val="24"/>
          <w:szCs w:val="24"/>
        </w:rPr>
      </w:pPr>
    </w:p>
    <w:p w:rsidR="00BB5379" w:rsidRPr="00BB5379" w:rsidRDefault="00BB5379" w:rsidP="0019757D">
      <w:pPr>
        <w:ind w:firstLine="567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7. Приложение 7 к Программе изложить в следующей редакции:</w:t>
      </w:r>
    </w:p>
    <w:p w:rsidR="00BB5379" w:rsidRDefault="00BB5379" w:rsidP="00BB5379">
      <w:pPr>
        <w:ind w:left="4678"/>
        <w:rPr>
          <w:rFonts w:ascii="Arial" w:hAnsi="Arial" w:cs="Arial"/>
          <w:sz w:val="24"/>
          <w:szCs w:val="24"/>
        </w:rPr>
      </w:pPr>
    </w:p>
    <w:p w:rsidR="00BB5379" w:rsidRDefault="00BB5379" w:rsidP="00BB5379">
      <w:pPr>
        <w:ind w:left="4678"/>
        <w:rPr>
          <w:rFonts w:ascii="Arial" w:hAnsi="Arial" w:cs="Arial"/>
          <w:sz w:val="24"/>
          <w:szCs w:val="24"/>
        </w:rPr>
      </w:pPr>
    </w:p>
    <w:p w:rsidR="00BB5379" w:rsidRPr="0019757D" w:rsidRDefault="00BB5379" w:rsidP="0019757D">
      <w:pPr>
        <w:jc w:val="right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t>Приложение 7</w:t>
      </w:r>
    </w:p>
    <w:p w:rsidR="0019757D" w:rsidRDefault="00BB5379" w:rsidP="0019757D">
      <w:pPr>
        <w:jc w:val="right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9757D" w:rsidRDefault="00BB5379" w:rsidP="0019757D">
      <w:pPr>
        <w:jc w:val="right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t xml:space="preserve"> «Развитие жилищно-коммунального</w:t>
      </w:r>
    </w:p>
    <w:p w:rsidR="0019757D" w:rsidRDefault="00BB5379" w:rsidP="0019757D">
      <w:pPr>
        <w:jc w:val="right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t xml:space="preserve"> хозяйства, защита населения и территории от</w:t>
      </w:r>
    </w:p>
    <w:p w:rsidR="0019757D" w:rsidRDefault="00BB5379" w:rsidP="0019757D">
      <w:pPr>
        <w:jc w:val="right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t xml:space="preserve"> чрезвычайных ситуаций в </w:t>
      </w:r>
      <w:proofErr w:type="spellStart"/>
      <w:r w:rsidRPr="0019757D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BB5379" w:rsidRPr="0019757D" w:rsidRDefault="00BB5379" w:rsidP="0019757D">
      <w:pPr>
        <w:jc w:val="right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t xml:space="preserve"> городском округе Ставропольского края»</w:t>
      </w:r>
    </w:p>
    <w:p w:rsidR="00BB5379" w:rsidRPr="0019757D" w:rsidRDefault="00BB5379" w:rsidP="0019757D">
      <w:pPr>
        <w:jc w:val="right"/>
        <w:rPr>
          <w:rFonts w:ascii="Arial" w:hAnsi="Arial" w:cs="Arial"/>
          <w:b/>
          <w:caps/>
          <w:sz w:val="32"/>
          <w:szCs w:val="24"/>
        </w:rPr>
      </w:pPr>
    </w:p>
    <w:p w:rsidR="00BB5379" w:rsidRPr="00BB5379" w:rsidRDefault="00BB5379" w:rsidP="00BB5379">
      <w:pPr>
        <w:ind w:left="4678"/>
        <w:rPr>
          <w:rFonts w:ascii="Arial" w:hAnsi="Arial" w:cs="Arial"/>
          <w:caps/>
          <w:sz w:val="24"/>
          <w:szCs w:val="24"/>
        </w:rPr>
      </w:pPr>
    </w:p>
    <w:p w:rsidR="00BB5379" w:rsidRPr="0019757D" w:rsidRDefault="0019757D" w:rsidP="00BB537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19757D">
        <w:rPr>
          <w:rFonts w:ascii="Arial" w:hAnsi="Arial" w:cs="Arial"/>
          <w:b/>
          <w:sz w:val="32"/>
          <w:szCs w:val="24"/>
        </w:rPr>
        <w:lastRenderedPageBreak/>
        <w:t xml:space="preserve">ОБЪЕМЫ И ИСТОЧНИКИ </w:t>
      </w:r>
      <w:r w:rsidRPr="0019757D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19757D">
        <w:rPr>
          <w:rFonts w:ascii="Arial" w:hAnsi="Arial" w:cs="Arial"/>
          <w:b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BB5379" w:rsidRDefault="00BB5379" w:rsidP="00BB537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19757D" w:rsidRPr="00BB5379" w:rsidRDefault="0019757D" w:rsidP="00BB537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19"/>
        <w:gridCol w:w="1837"/>
        <w:gridCol w:w="991"/>
        <w:gridCol w:w="991"/>
        <w:gridCol w:w="807"/>
        <w:gridCol w:w="184"/>
        <w:gridCol w:w="991"/>
        <w:gridCol w:w="991"/>
        <w:gridCol w:w="744"/>
      </w:tblGrid>
      <w:tr w:rsidR="00BB5379" w:rsidRPr="00BB5379" w:rsidTr="0019757D">
        <w:trPr>
          <w:trHeight w:val="28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подпрограммы Программы, основного</w:t>
            </w: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мероприятия подпрограммы</w:t>
            </w: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B5379">
              <w:rPr>
                <w:rFonts w:ascii="Arial" w:hAnsi="Arial" w:cs="Arial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BB5379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117117,98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137964,85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127563,26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90409,14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91441,38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111079,97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110241,23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90409,14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25676,60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26884,88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17322,03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Из них </w:t>
            </w:r>
            <w:r w:rsidRPr="00BB537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88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106895,15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130666,49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118472,40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81972,23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81742,61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81742,61</w:t>
            </w:r>
          </w:p>
        </w:tc>
      </w:tr>
      <w:tr w:rsidR="00BB5379" w:rsidRPr="00BB5379" w:rsidTr="0019757D">
        <w:trPr>
          <w:trHeight w:val="36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10222,83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7298,36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9090,86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10168,54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7296,47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9086,57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8386,91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8386,93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8386,93</w:t>
            </w:r>
          </w:p>
        </w:tc>
      </w:tr>
      <w:tr w:rsidR="00BB5379" w:rsidRPr="00BB5379" w:rsidTr="0019757D">
        <w:trPr>
          <w:trHeight w:val="23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7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126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bCs/>
                <w:sz w:val="24"/>
                <w:szCs w:val="24"/>
              </w:rPr>
              <w:t>.1.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4701,88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19535,56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BB5379" w:rsidRPr="00BB5379" w:rsidTr="0019757D">
        <w:trPr>
          <w:trHeight w:val="12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188,13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4701,88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19535,56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BB5379" w:rsidRPr="00BB5379" w:rsidTr="0019757D">
        <w:trPr>
          <w:trHeight w:val="49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8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3493,26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</w:tr>
      <w:tr w:rsidR="00BB5379" w:rsidRPr="00BB5379" w:rsidTr="0019757D">
        <w:trPr>
          <w:trHeight w:val="10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4697,59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0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0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3677,10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6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19535,56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BB5379" w:rsidRPr="00BB5379" w:rsidTr="0019757D">
        <w:trPr>
          <w:trHeight w:val="12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188,13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19535,56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BB5379" w:rsidRPr="00BB5379" w:rsidTr="0019757D">
        <w:trPr>
          <w:trHeight w:val="20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</w:tr>
      <w:tr w:rsidR="00BB5379" w:rsidRPr="00BB5379" w:rsidTr="0019757D">
        <w:trPr>
          <w:trHeight w:val="13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3493,26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0,00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</w:pPr>
          </w:p>
        </w:tc>
      </w:tr>
      <w:tr w:rsidR="00BB5379" w:rsidRPr="00BB5379" w:rsidTr="0019757D">
        <w:trPr>
          <w:trHeight w:val="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BB5379" w:rsidRPr="00BB5379" w:rsidTr="0019757D">
        <w:trPr>
          <w:trHeight w:val="20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3677,10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9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564"/>
        </w:trPr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1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BB5379" w:rsidRPr="00BB5379" w:rsidTr="0019757D">
        <w:trPr>
          <w:trHeight w:val="35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bCs/>
                <w:sz w:val="24"/>
                <w:szCs w:val="24"/>
              </w:rPr>
              <w:t>.2.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bookmarkStart w:id="2" w:name="_Hlk52983030"/>
            <w:r w:rsidRPr="00BB5379">
              <w:rPr>
                <w:bCs/>
              </w:rPr>
              <w:t>Подпрограмма: «</w:t>
            </w:r>
            <w:r w:rsidRPr="00BB5379">
              <w:rPr>
                <w:rFonts w:eastAsia="CourierNewPSMT"/>
                <w:bCs/>
              </w:rPr>
              <w:t xml:space="preserve">Благоустройство территории </w:t>
            </w:r>
            <w:proofErr w:type="spellStart"/>
            <w:r w:rsidRPr="00BB5379">
              <w:rPr>
                <w:rFonts w:eastAsia="CourierNewPSMT"/>
                <w:bCs/>
              </w:rPr>
              <w:t>Ипатовского</w:t>
            </w:r>
            <w:proofErr w:type="spellEnd"/>
            <w:r w:rsidRPr="00BB5379">
              <w:rPr>
                <w:rFonts w:eastAsia="CourierNewPSMT"/>
                <w:bCs/>
              </w:rPr>
              <w:t xml:space="preserve"> городского округа Ставропольского края</w:t>
            </w:r>
            <w:bookmarkEnd w:id="2"/>
            <w:r w:rsidRPr="00BB5379">
              <w:rPr>
                <w:rFonts w:eastAsia="CourierNewPSMT"/>
                <w:bCs/>
              </w:rPr>
              <w:t>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61257,81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77980,28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51675,17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16136,43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16156,01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16156,01</w:t>
            </w:r>
          </w:p>
        </w:tc>
      </w:tr>
      <w:tr w:rsidR="00BB5379" w:rsidRPr="00BB5379" w:rsidTr="0019757D">
        <w:trPr>
          <w:trHeight w:val="42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39276,19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51095,40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  <w:color w:val="FF0000"/>
              </w:rPr>
            </w:pPr>
            <w:r w:rsidRPr="00BB5379">
              <w:rPr>
                <w:bCs/>
              </w:rPr>
              <w:t>34353,14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  <w:color w:val="FF0000"/>
              </w:rPr>
            </w:pPr>
            <w:r w:rsidRPr="00BB5379">
              <w:rPr>
                <w:bCs/>
              </w:rPr>
              <w:t>16136,43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  <w:color w:val="FF0000"/>
              </w:rPr>
            </w:pPr>
            <w:r w:rsidRPr="00BB5379">
              <w:rPr>
                <w:bCs/>
              </w:rPr>
              <w:t>16156,01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16156,01</w:t>
            </w:r>
          </w:p>
        </w:tc>
      </w:tr>
      <w:tr w:rsidR="00BB5379" w:rsidRPr="00BB5379" w:rsidTr="0019757D">
        <w:trPr>
          <w:trHeight w:val="54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42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21981,62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26884,88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17322,03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41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</w:p>
        </w:tc>
      </w:tr>
      <w:tr w:rsidR="00BB5379" w:rsidRPr="00BB5379" w:rsidTr="0019757D">
        <w:trPr>
          <w:trHeight w:val="41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61257,81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77980,28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51675,17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16136,43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16156,01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16156,01</w:t>
            </w:r>
          </w:p>
        </w:tc>
      </w:tr>
      <w:tr w:rsidR="00BB5379" w:rsidRPr="00BB5379" w:rsidTr="0019757D">
        <w:trPr>
          <w:trHeight w:val="41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5990,17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af9"/>
              <w:jc w:val="center"/>
              <w:rPr>
                <w:bCs/>
              </w:rPr>
            </w:pPr>
            <w:r w:rsidRPr="00BB5379">
              <w:rPr>
                <w:bCs/>
              </w:rPr>
              <w:t>4771,53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7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33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54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5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217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af9"/>
              <w:jc w:val="center"/>
            </w:pPr>
            <w:r w:rsidRPr="00BB5379">
              <w:t>Основное мероприятие: Организация и содержание мест захоронения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1810,13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1188,91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B5379" w:rsidRPr="00BB5379" w:rsidTr="0019757D">
        <w:trPr>
          <w:trHeight w:val="28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1810.</w:t>
            </w: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1188,91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B5379" w:rsidRPr="00BB5379" w:rsidTr="0019757D">
        <w:trPr>
          <w:trHeight w:val="16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3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9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20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1810,13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1188,91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9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9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2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2695,20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BB5379" w:rsidRPr="00BB5379" w:rsidTr="0019757D">
        <w:trPr>
          <w:trHeight w:val="10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2695,20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BB5379" w:rsidRPr="00BB5379" w:rsidTr="0019757D">
        <w:trPr>
          <w:trHeight w:val="1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4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8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8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2695,20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BB5379" w:rsidRPr="00BB5379" w:rsidTr="0019757D">
        <w:trPr>
          <w:trHeight w:val="20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8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- налоговые расходы 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27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.2.3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14347,42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10332,35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BB5379" w:rsidRPr="00BB5379" w:rsidTr="0019757D">
        <w:trPr>
          <w:trHeight w:val="36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14347,42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10332,35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BB5379" w:rsidRPr="00BB5379" w:rsidTr="0019757D">
        <w:trPr>
          <w:trHeight w:val="32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9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40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14347,42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10332,35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BB5379" w:rsidRPr="00BB5379" w:rsidTr="0019757D">
        <w:trPr>
          <w:trHeight w:val="20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36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1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8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3473,79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BB5379" w:rsidRPr="00BB5379" w:rsidTr="0019757D">
        <w:trPr>
          <w:trHeight w:val="23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12360,21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3473,79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BB5379" w:rsidRPr="00BB5379" w:rsidTr="0019757D">
        <w:trPr>
          <w:trHeight w:val="21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1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3473,79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- средства участников 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8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97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.2.6.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BB5379">
              <w:rPr>
                <w:rFonts w:ascii="Arial" w:hAnsi="Arial" w:cs="Arial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0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2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20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5379" w:rsidRPr="00BB5379" w:rsidTr="0019757D">
        <w:trPr>
          <w:trHeight w:val="20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9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.2.7.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27599,54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29969,85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11551,87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12647,82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16047,67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17322,03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27599,54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29969,85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4771,53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</w:t>
            </w: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53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10513,77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377,59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525,69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8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8365,72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9988,08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18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10513,77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7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.2.9.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Реализация регионального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проекта:«Комплексная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849,98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849,13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849,98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.2.10</w:t>
            </w:r>
          </w:p>
        </w:tc>
        <w:tc>
          <w:tcPr>
            <w:tcW w:w="8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«Ремонт детских площадок»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1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bCs/>
                <w:sz w:val="24"/>
                <w:szCs w:val="24"/>
              </w:rPr>
              <w:t>.3.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bookmarkStart w:id="4" w:name="_Hlk52983067"/>
            <w:r w:rsidRPr="00BB5379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Подпрограмма</w:t>
            </w:r>
          </w:p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7461,16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9087,57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7461,16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9087,57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8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8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17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167,09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6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6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7294,07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9086,57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BB5379" w:rsidRPr="00BB5379" w:rsidTr="0019757D">
        <w:trPr>
          <w:trHeight w:val="16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6491,44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7294,07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9086,57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8387,91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8387,93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8387,93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.3.2.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BB5379" w:rsidRPr="00BB5379" w:rsidTr="0019757D">
        <w:trPr>
          <w:trHeight w:val="14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14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 6491,44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5379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населенных пунктов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1231,39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1231,39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ответственному 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учстнику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1231,39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1231,39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00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17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bCs/>
                <w:sz w:val="24"/>
                <w:szCs w:val="24"/>
              </w:rPr>
              <w:t>.4.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2983135"/>
            <w:r w:rsidRPr="00BB5379">
              <w:rPr>
                <w:rFonts w:ascii="Arial" w:hAnsi="Arial" w:cs="Arial"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BB5379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47264,96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BB5379" w:rsidRPr="00BB5379" w:rsidTr="0019757D">
        <w:trPr>
          <w:trHeight w:val="19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45435,62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47264,96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BB5379" w:rsidRPr="00BB5379" w:rsidTr="0019757D">
        <w:trPr>
          <w:trHeight w:val="18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73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201,72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51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27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47264,96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BB5379" w:rsidRPr="00BB5379" w:rsidTr="0019757D">
        <w:trPr>
          <w:trHeight w:val="23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30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52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BB53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1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.4.1.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Обеспечение деятельности управления по работе с территориями администрац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 xml:space="preserve">ии </w:t>
            </w:r>
            <w:proofErr w:type="spellStart"/>
            <w:r w:rsidRPr="00BB537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BB537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и иные 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46964,96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46033,53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BB5379" w:rsidRPr="00BB5379" w:rsidTr="0019757D">
        <w:trPr>
          <w:trHeight w:val="18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45203,59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46964,96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46033,53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BB5379" w:rsidRPr="00BB5379" w:rsidTr="0019757D">
        <w:trPr>
          <w:trHeight w:val="7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0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 xml:space="preserve">- краевой </w:t>
            </w: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lastRenderedPageBreak/>
              <w:t>201,72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6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5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46964,96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46033,53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BB5379" w:rsidRPr="00BB5379" w:rsidTr="0019757D">
        <w:trPr>
          <w:trHeight w:val="11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7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B5379">
              <w:rPr>
                <w:rFonts w:ascii="Arial" w:hAnsi="Arial" w:cs="Arial"/>
                <w:sz w:val="24"/>
                <w:szCs w:val="24"/>
              </w:rPr>
              <w:t>.4.2.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BB5379" w:rsidRPr="00BB5379" w:rsidTr="0019757D">
        <w:trPr>
          <w:trHeight w:val="7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BB5379" w:rsidRPr="00BB5379" w:rsidTr="0019757D">
        <w:trPr>
          <w:trHeight w:val="15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7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211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79" w:rsidRPr="00BB5379" w:rsidTr="0019757D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BB5379" w:rsidRPr="00BB5379" w:rsidTr="0019757D">
        <w:trPr>
          <w:trHeight w:val="11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379" w:rsidRPr="00BB5379" w:rsidTr="0019757D">
        <w:trPr>
          <w:trHeight w:val="11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79" w:rsidRPr="00BB5379" w:rsidRDefault="00BB5379" w:rsidP="00BB537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BB53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B5379" w:rsidRPr="00BB5379" w:rsidRDefault="00BB5379" w:rsidP="00BB5379">
      <w:pPr>
        <w:jc w:val="right"/>
        <w:rPr>
          <w:rFonts w:ascii="Arial" w:hAnsi="Arial" w:cs="Arial"/>
          <w:sz w:val="24"/>
          <w:szCs w:val="24"/>
        </w:rPr>
      </w:pPr>
      <w:r w:rsidRPr="00BB5379">
        <w:rPr>
          <w:rFonts w:ascii="Arial" w:hAnsi="Arial" w:cs="Arial"/>
          <w:sz w:val="24"/>
          <w:szCs w:val="24"/>
        </w:rPr>
        <w:t>».</w:t>
      </w:r>
    </w:p>
    <w:sectPr w:rsidR="00BB5379" w:rsidRPr="00BB5379" w:rsidSect="001975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a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7C74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757D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4600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FC3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2AFB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5379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AutoShape 3"/>
      </o:rules>
    </o:shapelayout>
  </w:shapeDefaults>
  <w:decimalSymbol w:val=","/>
  <w:listSeparator w:val=";"/>
  <w14:docId w14:val="0EC2C2CB"/>
  <w15:docId w15:val="{9C1E6605-D72A-469C-BE8E-396173A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438"/>
  </w:style>
  <w:style w:type="paragraph" w:styleId="1">
    <w:name w:val="heading 1"/>
    <w:basedOn w:val="a0"/>
    <w:next w:val="a0"/>
    <w:link w:val="10"/>
    <w:uiPriority w:val="99"/>
    <w:qFormat/>
    <w:rsid w:val="00BB5379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BB5379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B5379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B5379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5379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5379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5379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5379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5379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B5379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1"/>
    <w:link w:val="2"/>
    <w:semiHidden/>
    <w:rsid w:val="00BB537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0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0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7">
    <w:name w:val="Balloon Text"/>
    <w:basedOn w:val="a0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0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basedOn w:val="a0"/>
    <w:link w:val="aa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0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1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1"/>
    <w:uiPriority w:val="99"/>
    <w:semiHidden/>
    <w:rsid w:val="00D57DDD"/>
  </w:style>
  <w:style w:type="paragraph" w:styleId="ab">
    <w:name w:val="Body Text"/>
    <w:basedOn w:val="a0"/>
    <w:link w:val="ac"/>
    <w:uiPriority w:val="99"/>
    <w:semiHidden/>
    <w:unhideWhenUsed/>
    <w:rsid w:val="0088790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88790B"/>
  </w:style>
  <w:style w:type="character" w:customStyle="1" w:styleId="30">
    <w:name w:val="Заголовок 3 Знак"/>
    <w:basedOn w:val="a1"/>
    <w:link w:val="3"/>
    <w:uiPriority w:val="9"/>
    <w:semiHidden/>
    <w:rsid w:val="00BB53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BB53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BB53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BB537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BB53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BB53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BB5379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BB5379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BB5379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B537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footnote text"/>
    <w:basedOn w:val="a0"/>
    <w:link w:val="ae"/>
    <w:uiPriority w:val="99"/>
    <w:semiHidden/>
    <w:unhideWhenUsed/>
    <w:rsid w:val="00BB537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BB5379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f0"/>
    <w:uiPriority w:val="99"/>
    <w:semiHidden/>
    <w:rsid w:val="00BB53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header"/>
    <w:basedOn w:val="a0"/>
    <w:link w:val="af"/>
    <w:uiPriority w:val="99"/>
    <w:semiHidden/>
    <w:unhideWhenUsed/>
    <w:rsid w:val="00BB537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1"/>
    <w:link w:val="af2"/>
    <w:uiPriority w:val="99"/>
    <w:semiHidden/>
    <w:rsid w:val="00BB53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0"/>
    <w:link w:val="af1"/>
    <w:uiPriority w:val="99"/>
    <w:semiHidden/>
    <w:unhideWhenUsed/>
    <w:rsid w:val="00BB537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BB537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0"/>
    <w:link w:val="af3"/>
    <w:uiPriority w:val="99"/>
    <w:semiHidden/>
    <w:unhideWhenUsed/>
    <w:rsid w:val="00BB5379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BB537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0"/>
    <w:link w:val="31"/>
    <w:uiPriority w:val="99"/>
    <w:semiHidden/>
    <w:unhideWhenUsed/>
    <w:rsid w:val="00BB5379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BB53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BB537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BB537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BB537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BB5379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0"/>
    <w:link w:val="af5"/>
    <w:uiPriority w:val="99"/>
    <w:semiHidden/>
    <w:unhideWhenUsed/>
    <w:rsid w:val="00BB5379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7">
    <w:name w:val="Текст Знак"/>
    <w:basedOn w:val="a1"/>
    <w:link w:val="af8"/>
    <w:uiPriority w:val="99"/>
    <w:semiHidden/>
    <w:rsid w:val="00BB537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0"/>
    <w:link w:val="af7"/>
    <w:uiPriority w:val="99"/>
    <w:semiHidden/>
    <w:unhideWhenUsed/>
    <w:rsid w:val="00BB5379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BodyText21">
    <w:name w:val="Body Text 21"/>
    <w:basedOn w:val="a0"/>
    <w:rsid w:val="00BB5379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Нормальный (таблица)"/>
    <w:basedOn w:val="a0"/>
    <w:next w:val="a0"/>
    <w:uiPriority w:val="99"/>
    <w:semiHidden/>
    <w:rsid w:val="00BB53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MTopic1">
    <w:name w:val="MM Topic 1 Знак"/>
    <w:link w:val="MMTopic10"/>
    <w:semiHidden/>
    <w:locked/>
    <w:rsid w:val="00BB5379"/>
    <w:rPr>
      <w:rFonts w:ascii="Cambria" w:hAnsi="Cambria"/>
      <w:b/>
      <w:bCs/>
      <w:color w:val="365F91"/>
      <w:sz w:val="28"/>
      <w:szCs w:val="28"/>
    </w:rPr>
  </w:style>
  <w:style w:type="paragraph" w:customStyle="1" w:styleId="MMTopic10">
    <w:name w:val="MM Topic 1"/>
    <w:basedOn w:val="1"/>
    <w:link w:val="MMTopic1"/>
    <w:semiHidden/>
    <w:rsid w:val="00BB5379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BB5379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BB5379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BB5379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BB5379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BB5379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BB5379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BB5379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BB5379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BB5379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BB5379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1"/>
    <w:rsid w:val="00BB5379"/>
  </w:style>
  <w:style w:type="character" w:customStyle="1" w:styleId="afa">
    <w:name w:val="Гипертекстовая ссылка"/>
    <w:uiPriority w:val="99"/>
    <w:rsid w:val="00BB5379"/>
    <w:rPr>
      <w:b/>
      <w:bCs/>
      <w:color w:val="008000"/>
    </w:rPr>
  </w:style>
  <w:style w:type="character" w:customStyle="1" w:styleId="11">
    <w:name w:val="Основной шрифт абзаца1"/>
    <w:rsid w:val="00BB5379"/>
  </w:style>
  <w:style w:type="character" w:customStyle="1" w:styleId="WW8Num1z0">
    <w:name w:val="WW8Num1z0"/>
    <w:rsid w:val="00BB5379"/>
    <w:rPr>
      <w:rFonts w:ascii="Symbol" w:hAnsi="Symbol" w:hint="default"/>
    </w:rPr>
  </w:style>
  <w:style w:type="character" w:customStyle="1" w:styleId="WW8Num1z1">
    <w:name w:val="WW8Num1z1"/>
    <w:rsid w:val="00BB5379"/>
    <w:rPr>
      <w:rFonts w:ascii="Courier New" w:hAnsi="Courier New" w:cs="Courier New" w:hint="default"/>
    </w:rPr>
  </w:style>
  <w:style w:type="character" w:customStyle="1" w:styleId="WW8Num1z2">
    <w:name w:val="WW8Num1z2"/>
    <w:rsid w:val="00BB5379"/>
    <w:rPr>
      <w:rFonts w:ascii="Wingdings" w:hAnsi="Wingdings" w:hint="default"/>
    </w:rPr>
  </w:style>
  <w:style w:type="character" w:customStyle="1" w:styleId="WW8Num2z0">
    <w:name w:val="WW8Num2z0"/>
    <w:rsid w:val="00BB5379"/>
    <w:rPr>
      <w:rFonts w:ascii="Symbol" w:hAnsi="Symbol" w:hint="default"/>
    </w:rPr>
  </w:style>
  <w:style w:type="character" w:customStyle="1" w:styleId="WW8Num2z1">
    <w:name w:val="WW8Num2z1"/>
    <w:rsid w:val="00BB5379"/>
    <w:rPr>
      <w:rFonts w:ascii="Courier New" w:hAnsi="Courier New" w:cs="Courier New" w:hint="default"/>
    </w:rPr>
  </w:style>
  <w:style w:type="character" w:customStyle="1" w:styleId="WW8Num2z2">
    <w:name w:val="WW8Num2z2"/>
    <w:rsid w:val="00BB5379"/>
    <w:rPr>
      <w:rFonts w:ascii="Wingdings" w:hAnsi="Wingdings" w:hint="default"/>
    </w:rPr>
  </w:style>
  <w:style w:type="character" w:customStyle="1" w:styleId="s1">
    <w:name w:val="s1"/>
    <w:basedOn w:val="a1"/>
    <w:rsid w:val="00BB5379"/>
  </w:style>
  <w:style w:type="table" w:styleId="a">
    <w:name w:val="Table Grid"/>
    <w:basedOn w:val="a2"/>
    <w:uiPriority w:val="59"/>
    <w:rsid w:val="00BB537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5252-407B-40B2-8B88-F17CF73D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2023-10-27T15:30:00Z</cp:lastPrinted>
  <dcterms:created xsi:type="dcterms:W3CDTF">2023-10-27T15:31:00Z</dcterms:created>
  <dcterms:modified xsi:type="dcterms:W3CDTF">2023-11-09T11:04:00Z</dcterms:modified>
</cp:coreProperties>
</file>