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96D" w:rsidRPr="001821FB" w:rsidRDefault="006A696D" w:rsidP="006A696D">
      <w:pPr>
        <w:spacing w:after="0" w:line="240" w:lineRule="exact"/>
        <w:ind w:left="10206"/>
        <w:rPr>
          <w:rFonts w:ascii="Times New Roman" w:hAnsi="Times New Roman"/>
          <w:sz w:val="28"/>
          <w:szCs w:val="28"/>
        </w:rPr>
      </w:pPr>
      <w:r w:rsidRPr="001821FB">
        <w:rPr>
          <w:rFonts w:ascii="Times New Roman" w:hAnsi="Times New Roman"/>
          <w:sz w:val="28"/>
          <w:szCs w:val="28"/>
        </w:rPr>
        <w:t xml:space="preserve">Приложение </w:t>
      </w:r>
    </w:p>
    <w:p w:rsidR="006A696D" w:rsidRPr="001821FB" w:rsidRDefault="006A696D" w:rsidP="006A696D">
      <w:pPr>
        <w:spacing w:after="0" w:line="240" w:lineRule="exact"/>
        <w:ind w:left="10206"/>
        <w:rPr>
          <w:rFonts w:ascii="Times New Roman" w:hAnsi="Times New Roman"/>
          <w:sz w:val="28"/>
          <w:szCs w:val="28"/>
        </w:rPr>
      </w:pPr>
    </w:p>
    <w:p w:rsidR="006A696D" w:rsidRPr="001821FB" w:rsidRDefault="006A696D" w:rsidP="006A696D">
      <w:pPr>
        <w:spacing w:after="0" w:line="240" w:lineRule="exact"/>
        <w:ind w:left="10206"/>
        <w:rPr>
          <w:rFonts w:ascii="Times New Roman" w:hAnsi="Times New Roman"/>
          <w:sz w:val="28"/>
          <w:szCs w:val="28"/>
        </w:rPr>
      </w:pPr>
      <w:r w:rsidRPr="001821FB">
        <w:rPr>
          <w:rFonts w:ascii="Times New Roman" w:hAnsi="Times New Roman"/>
          <w:sz w:val="28"/>
          <w:szCs w:val="28"/>
        </w:rPr>
        <w:t>к отчету о ходе реализации Стратегии социально - экономического развития Ипатовского городского округа Ставропольского края за 202</w:t>
      </w:r>
      <w:r w:rsidR="00914B7B">
        <w:rPr>
          <w:rFonts w:ascii="Times New Roman" w:hAnsi="Times New Roman"/>
          <w:sz w:val="28"/>
          <w:szCs w:val="28"/>
        </w:rPr>
        <w:t>4</w:t>
      </w:r>
      <w:r w:rsidRPr="001821FB">
        <w:rPr>
          <w:rFonts w:ascii="Times New Roman" w:hAnsi="Times New Roman"/>
          <w:sz w:val="28"/>
          <w:szCs w:val="28"/>
        </w:rPr>
        <w:t xml:space="preserve"> год</w:t>
      </w:r>
    </w:p>
    <w:p w:rsidR="00130C53" w:rsidRDefault="00130C53" w:rsidP="006A69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696D" w:rsidRPr="001821FB" w:rsidRDefault="006A696D" w:rsidP="00130C5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821FB">
        <w:rPr>
          <w:rFonts w:ascii="Times New Roman" w:hAnsi="Times New Roman"/>
          <w:sz w:val="28"/>
          <w:szCs w:val="28"/>
        </w:rPr>
        <w:t>Информация</w:t>
      </w:r>
    </w:p>
    <w:p w:rsidR="006A696D" w:rsidRPr="001821FB" w:rsidRDefault="006A696D" w:rsidP="00130C5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821FB">
        <w:rPr>
          <w:rFonts w:ascii="Times New Roman" w:hAnsi="Times New Roman"/>
          <w:sz w:val="28"/>
          <w:szCs w:val="28"/>
        </w:rPr>
        <w:t>о достигнутых значениях целевых показателей Стратегии социально - экономического развития Ипатовского городского округа Ставропольского края до 2035 года&lt;*&gt; и проведенных мероприятиях, способствующих достижению этих показателей</w:t>
      </w:r>
    </w:p>
    <w:p w:rsidR="006A696D" w:rsidRPr="001821FB" w:rsidRDefault="006A696D" w:rsidP="00130C5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821FB">
        <w:rPr>
          <w:rFonts w:ascii="Times New Roman" w:hAnsi="Times New Roman"/>
          <w:sz w:val="28"/>
          <w:szCs w:val="28"/>
        </w:rPr>
        <w:t>за 202</w:t>
      </w:r>
      <w:r w:rsidR="00914B7B">
        <w:rPr>
          <w:rFonts w:ascii="Times New Roman" w:hAnsi="Times New Roman"/>
          <w:sz w:val="28"/>
          <w:szCs w:val="28"/>
        </w:rPr>
        <w:t>4</w:t>
      </w:r>
      <w:r w:rsidRPr="001821FB">
        <w:rPr>
          <w:rFonts w:ascii="Times New Roman" w:hAnsi="Times New Roman"/>
          <w:sz w:val="28"/>
          <w:szCs w:val="28"/>
        </w:rPr>
        <w:t xml:space="preserve"> год</w:t>
      </w:r>
    </w:p>
    <w:p w:rsidR="006A696D" w:rsidRPr="001821FB" w:rsidRDefault="006A696D" w:rsidP="006A69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"/>
        <w:gridCol w:w="9319"/>
        <w:gridCol w:w="4109"/>
        <w:gridCol w:w="2267"/>
      </w:tblGrid>
      <w:tr w:rsidR="003D048A" w:rsidRPr="001821FB" w:rsidTr="0076745F">
        <w:trPr>
          <w:trHeight w:val="1895"/>
          <w:tblHeader/>
        </w:trPr>
        <w:tc>
          <w:tcPr>
            <w:tcW w:w="9325" w:type="dxa"/>
            <w:gridSpan w:val="2"/>
            <w:vMerge w:val="restart"/>
            <w:vAlign w:val="center"/>
          </w:tcPr>
          <w:p w:rsidR="003D048A" w:rsidRPr="001821FB" w:rsidRDefault="003D048A" w:rsidP="00ED708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Наименование задач, показателя реализации Стратегии и проведенные мероприятия, способствующие достижению показателя реализации Стратегии</w:t>
            </w:r>
          </w:p>
        </w:tc>
        <w:tc>
          <w:tcPr>
            <w:tcW w:w="4109" w:type="dxa"/>
            <w:vAlign w:val="center"/>
          </w:tcPr>
          <w:p w:rsidR="003D048A" w:rsidRPr="001821FB" w:rsidRDefault="003D048A" w:rsidP="00124D0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 xml:space="preserve">Плановое значение показателя Стратегии 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vAlign w:val="center"/>
          </w:tcPr>
          <w:p w:rsidR="003D048A" w:rsidRPr="001821FB" w:rsidRDefault="003D048A" w:rsidP="00ED708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Фактическое выполнение показателя Стратегии</w:t>
            </w:r>
          </w:p>
        </w:tc>
      </w:tr>
      <w:tr w:rsidR="00914B7B" w:rsidRPr="001821FB" w:rsidTr="00726183">
        <w:trPr>
          <w:tblHeader/>
        </w:trPr>
        <w:tc>
          <w:tcPr>
            <w:tcW w:w="9325" w:type="dxa"/>
            <w:gridSpan w:val="2"/>
            <w:vMerge/>
          </w:tcPr>
          <w:p w:rsidR="00914B7B" w:rsidRPr="001821FB" w:rsidRDefault="00914B7B" w:rsidP="00C20F2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9" w:type="dxa"/>
          </w:tcPr>
          <w:p w:rsidR="00914B7B" w:rsidRPr="001821FB" w:rsidRDefault="00914B7B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914B7B" w:rsidRPr="001821FB" w:rsidRDefault="00914B7B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на 01.01.202</w:t>
            </w:r>
            <w:r w:rsidR="00701019">
              <w:rPr>
                <w:rFonts w:ascii="Times New Roman" w:hAnsi="Times New Roman"/>
                <w:sz w:val="28"/>
                <w:szCs w:val="28"/>
              </w:rPr>
              <w:t>5</w:t>
            </w:r>
            <w:r w:rsidRPr="001821F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914B7B" w:rsidRPr="001821FB" w:rsidTr="00F86605">
        <w:trPr>
          <w:tblHeader/>
        </w:trPr>
        <w:tc>
          <w:tcPr>
            <w:tcW w:w="9325" w:type="dxa"/>
            <w:gridSpan w:val="2"/>
          </w:tcPr>
          <w:p w:rsidR="00914B7B" w:rsidRPr="001821FB" w:rsidRDefault="00914B7B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</w:tcPr>
          <w:p w:rsidR="00914B7B" w:rsidRPr="001821FB" w:rsidRDefault="00914B7B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</w:tcBorders>
          </w:tcPr>
          <w:p w:rsidR="00914B7B" w:rsidRPr="001821FB" w:rsidRDefault="00914B7B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20F26" w:rsidRPr="001821FB" w:rsidTr="00ED7080">
        <w:tc>
          <w:tcPr>
            <w:tcW w:w="15701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Цель 1. «Новое качество жизни населения»</w:t>
            </w:r>
          </w:p>
        </w:tc>
      </w:tr>
      <w:tr w:rsidR="00C20F26" w:rsidRPr="001821FB" w:rsidTr="00ED7080">
        <w:tc>
          <w:tcPr>
            <w:tcW w:w="15701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1. Обеспечение демографического благополучия и привлекательности Ипатовского округа для жизни и отдыха</w:t>
            </w:r>
          </w:p>
        </w:tc>
      </w:tr>
      <w:tr w:rsidR="00C20F26" w:rsidRPr="001821FB" w:rsidTr="00ED7080">
        <w:tc>
          <w:tcPr>
            <w:tcW w:w="15701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1.1. Формирование привлекательных условий для миграционного и естественного прироста населения</w:t>
            </w:r>
          </w:p>
        </w:tc>
      </w:tr>
      <w:tr w:rsidR="00914B7B" w:rsidRPr="001821FB" w:rsidTr="003B1442">
        <w:tc>
          <w:tcPr>
            <w:tcW w:w="9325" w:type="dxa"/>
            <w:gridSpan w:val="2"/>
          </w:tcPr>
          <w:p w:rsidR="00914B7B" w:rsidRPr="001821FB" w:rsidRDefault="00914B7B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Численность постоянного населения (среднегодовая), тыс. человек</w:t>
            </w:r>
          </w:p>
        </w:tc>
        <w:tc>
          <w:tcPr>
            <w:tcW w:w="4109" w:type="dxa"/>
          </w:tcPr>
          <w:p w:rsidR="00914B7B" w:rsidRPr="00C20F26" w:rsidRDefault="00557310" w:rsidP="0091208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58,</w:t>
            </w:r>
            <w:r w:rsidR="0091208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267" w:type="dxa"/>
          </w:tcPr>
          <w:p w:rsidR="00914B7B" w:rsidRPr="003C5AB3" w:rsidRDefault="00914B7B" w:rsidP="00C20F2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C5AB3">
              <w:rPr>
                <w:rFonts w:ascii="Times New Roman" w:hAnsi="Times New Roman"/>
                <w:color w:val="FF0000"/>
                <w:sz w:val="28"/>
                <w:szCs w:val="28"/>
              </w:rPr>
              <w:t>56,</w:t>
            </w:r>
            <w:r w:rsidR="00912082" w:rsidRPr="003C5AB3">
              <w:rPr>
                <w:rFonts w:ascii="Times New Roman" w:hAnsi="Times New Roman"/>
                <w:color w:val="FF0000"/>
                <w:sz w:val="28"/>
                <w:szCs w:val="28"/>
              </w:rPr>
              <w:t>6</w:t>
            </w:r>
            <w:r w:rsidRPr="003C5AB3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  <w:p w:rsidR="00914B7B" w:rsidRPr="00045472" w:rsidRDefault="00914B7B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20F26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c>
          <w:tcPr>
            <w:tcW w:w="15701" w:type="dxa"/>
            <w:gridSpan w:val="4"/>
            <w:vAlign w:val="center"/>
          </w:tcPr>
          <w:p w:rsidR="00C20F26" w:rsidRPr="00912082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2082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914B7B" w:rsidRPr="00912082">
              <w:rPr>
                <w:rFonts w:ascii="Times New Roman" w:hAnsi="Times New Roman"/>
                <w:sz w:val="28"/>
                <w:szCs w:val="28"/>
              </w:rPr>
              <w:t>4</w:t>
            </w:r>
            <w:r w:rsidRPr="00912082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914B7B" w:rsidRPr="00912082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912082">
              <w:rPr>
                <w:rFonts w:ascii="Times New Roman" w:hAnsi="Times New Roman"/>
                <w:sz w:val="28"/>
                <w:szCs w:val="28"/>
              </w:rPr>
              <w:t xml:space="preserve">достигнуто, по оценке, среднегодовая численность постоянного населения по </w:t>
            </w:r>
            <w:proofErr w:type="spellStart"/>
            <w:r w:rsidRPr="00912082">
              <w:rPr>
                <w:rFonts w:ascii="Times New Roman" w:hAnsi="Times New Roman"/>
                <w:sz w:val="28"/>
                <w:szCs w:val="28"/>
              </w:rPr>
              <w:t>Ипатовскому</w:t>
            </w:r>
            <w:proofErr w:type="spellEnd"/>
            <w:r w:rsidRPr="00912082">
              <w:rPr>
                <w:rFonts w:ascii="Times New Roman" w:hAnsi="Times New Roman"/>
                <w:sz w:val="28"/>
                <w:szCs w:val="28"/>
              </w:rPr>
              <w:t xml:space="preserve"> округу за 202</w:t>
            </w:r>
            <w:r w:rsidR="00914B7B" w:rsidRPr="00912082">
              <w:rPr>
                <w:rFonts w:ascii="Times New Roman" w:hAnsi="Times New Roman"/>
                <w:sz w:val="28"/>
                <w:szCs w:val="28"/>
              </w:rPr>
              <w:t>4</w:t>
            </w:r>
            <w:r w:rsidRPr="00912082">
              <w:rPr>
                <w:rFonts w:ascii="Times New Roman" w:hAnsi="Times New Roman"/>
                <w:sz w:val="28"/>
                <w:szCs w:val="28"/>
              </w:rPr>
              <w:t xml:space="preserve"> год составила </w:t>
            </w:r>
            <w:r w:rsidR="00914B7B" w:rsidRPr="00912082">
              <w:rPr>
                <w:rFonts w:ascii="Times New Roman" w:hAnsi="Times New Roman"/>
                <w:sz w:val="28"/>
                <w:szCs w:val="28"/>
              </w:rPr>
              <w:t>56</w:t>
            </w:r>
            <w:r w:rsidR="00912082" w:rsidRPr="00912082">
              <w:rPr>
                <w:rFonts w:ascii="Times New Roman" w:hAnsi="Times New Roman"/>
                <w:sz w:val="28"/>
                <w:szCs w:val="28"/>
              </w:rPr>
              <w:t>,6</w:t>
            </w:r>
            <w:r w:rsidRPr="00912082">
              <w:rPr>
                <w:rFonts w:ascii="Times New Roman" w:hAnsi="Times New Roman"/>
                <w:sz w:val="28"/>
                <w:szCs w:val="28"/>
              </w:rPr>
              <w:t xml:space="preserve"> тысяч человек, что </w:t>
            </w:r>
            <w:r w:rsidR="00914B7B" w:rsidRPr="00912082">
              <w:rPr>
                <w:rFonts w:ascii="Times New Roman" w:hAnsi="Times New Roman"/>
                <w:sz w:val="28"/>
                <w:szCs w:val="28"/>
              </w:rPr>
              <w:t>ниже</w:t>
            </w:r>
            <w:r w:rsidRPr="00912082">
              <w:rPr>
                <w:rFonts w:ascii="Times New Roman" w:hAnsi="Times New Roman"/>
                <w:sz w:val="28"/>
                <w:szCs w:val="28"/>
              </w:rPr>
              <w:t xml:space="preserve"> базовое значение показателя на </w:t>
            </w:r>
            <w:r w:rsidR="00912082" w:rsidRPr="00912082">
              <w:rPr>
                <w:rFonts w:ascii="Times New Roman" w:hAnsi="Times New Roman"/>
                <w:sz w:val="28"/>
                <w:szCs w:val="28"/>
              </w:rPr>
              <w:t>4</w:t>
            </w:r>
            <w:r w:rsidRPr="00912082">
              <w:rPr>
                <w:rFonts w:ascii="Times New Roman" w:hAnsi="Times New Roman"/>
                <w:sz w:val="28"/>
                <w:szCs w:val="28"/>
              </w:rPr>
              <w:t xml:space="preserve"> процента. </w:t>
            </w:r>
          </w:p>
          <w:p w:rsidR="00557310" w:rsidRPr="00614E92" w:rsidRDefault="00557310" w:rsidP="0070101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91735">
              <w:rPr>
                <w:rFonts w:ascii="Times New Roman" w:hAnsi="Times New Roman"/>
                <w:sz w:val="28"/>
                <w:szCs w:val="28"/>
              </w:rPr>
              <w:t xml:space="preserve">Бюджет округа в 2024 году формировался программно-целевым методом. В отчетном году на территории Ипатовского округа реализовывались четырнадцать муниципальных программ и не программные направления деятельности главных распорядителей средств местного бюджета, доля программных расходов в общем объеме плановых назначений местного бюджета составила 99,7 процентов. </w:t>
            </w:r>
            <w:r w:rsidRPr="008B7BAD">
              <w:rPr>
                <w:rFonts w:ascii="Times New Roman" w:hAnsi="Times New Roman"/>
                <w:sz w:val="28"/>
                <w:szCs w:val="28"/>
              </w:rPr>
              <w:t xml:space="preserve">Уточненные плановые назначения по расходам в 2024 году составили 2,9 миллиардов рублей. Кассовое исполнение по </w:t>
            </w:r>
            <w:r>
              <w:rPr>
                <w:rFonts w:ascii="Times New Roman" w:hAnsi="Times New Roman"/>
                <w:sz w:val="28"/>
                <w:szCs w:val="28"/>
              </w:rPr>
              <w:t>расходам бюджета округа</w:t>
            </w:r>
            <w:r w:rsidRPr="008B7BAD">
              <w:rPr>
                <w:rFonts w:ascii="Times New Roman" w:hAnsi="Times New Roman"/>
                <w:sz w:val="28"/>
                <w:szCs w:val="28"/>
              </w:rPr>
              <w:t xml:space="preserve"> сложилось в сумме 2,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8B7BAD">
              <w:rPr>
                <w:rFonts w:ascii="Times New Roman" w:hAnsi="Times New Roman"/>
                <w:sz w:val="28"/>
                <w:szCs w:val="28"/>
              </w:rPr>
              <w:t xml:space="preserve"> миллиардов рублей или </w:t>
            </w:r>
            <w:r>
              <w:rPr>
                <w:rFonts w:ascii="Times New Roman" w:hAnsi="Times New Roman"/>
                <w:sz w:val="28"/>
                <w:szCs w:val="28"/>
              </w:rPr>
              <w:t>94,2</w:t>
            </w:r>
            <w:r w:rsidRPr="008B7BAD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8B7BAD">
              <w:rPr>
                <w:rFonts w:ascii="Times New Roman" w:hAnsi="Times New Roman"/>
                <w:sz w:val="28"/>
                <w:szCs w:val="28"/>
              </w:rPr>
              <w:t xml:space="preserve"> к уточненному плану, или </w:t>
            </w:r>
            <w:r w:rsidRPr="00363F8A">
              <w:rPr>
                <w:rFonts w:ascii="Times New Roman" w:hAnsi="Times New Roman"/>
                <w:sz w:val="28"/>
                <w:szCs w:val="28"/>
              </w:rPr>
              <w:t xml:space="preserve">128,2 </w:t>
            </w:r>
            <w:r w:rsidRPr="008B7BAD">
              <w:rPr>
                <w:rFonts w:ascii="Times New Roman" w:hAnsi="Times New Roman"/>
                <w:sz w:val="28"/>
                <w:szCs w:val="28"/>
              </w:rPr>
              <w:t>процента к первоначальному плану.</w:t>
            </w:r>
          </w:p>
          <w:p w:rsidR="00C20F26" w:rsidRPr="00557310" w:rsidRDefault="00557310" w:rsidP="0070101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1CCF">
              <w:rPr>
                <w:rFonts w:ascii="Times New Roman" w:hAnsi="Times New Roman"/>
                <w:sz w:val="28"/>
                <w:szCs w:val="28"/>
              </w:rPr>
              <w:t xml:space="preserve">Вместе с тем, в целях реализации Указа Президента Российской Федерации от 07 мая 2018г. № 204 «О национальных целях и стратегических задачах развития Российской Федерации на период до 2024 года», муниципальными программами предусмотрена и фактически осуществлялась реализация мероприятий четырех национальных проектов «Образование», «Культура», «Жилье и городская среда» и «Демография», на финансирование которых направлены бюджетные ассигнования в размере 45,8 миллионов рублей, в том числе за счет средств федерального бюджета и бюджета Ставропольского края составили 99,3 процента. Реализация данных проектов позволила модернизировать объекты социальной сферы Ипатовского округа и обеспечить их необходимым оборудованием, осуществить ежемесячные выплаты семьям в связи с рождением (усыновлением) </w:t>
            </w:r>
            <w:r w:rsidRPr="00911CCF">
              <w:rPr>
                <w:rFonts w:ascii="Times New Roman" w:hAnsi="Times New Roman"/>
                <w:sz w:val="28"/>
                <w:szCs w:val="28"/>
              </w:rPr>
              <w:lastRenderedPageBreak/>
              <w:t>детей и другое.</w:t>
            </w:r>
          </w:p>
        </w:tc>
      </w:tr>
      <w:tr w:rsidR="00AE1F67" w:rsidRPr="001821FB" w:rsidTr="00020171">
        <w:tc>
          <w:tcPr>
            <w:tcW w:w="9325" w:type="dxa"/>
            <w:gridSpan w:val="2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lastRenderedPageBreak/>
              <w:t>Общий коэффициент рождаемости, число родившихся на 1 тыс. населения</w:t>
            </w:r>
          </w:p>
        </w:tc>
        <w:tc>
          <w:tcPr>
            <w:tcW w:w="4109" w:type="dxa"/>
          </w:tcPr>
          <w:p w:rsidR="00AE1F67" w:rsidRPr="001A194C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2267" w:type="dxa"/>
          </w:tcPr>
          <w:p w:rsidR="00AE1F67" w:rsidRPr="0080439F" w:rsidRDefault="00CB2596" w:rsidP="00C20F2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6,6</w:t>
            </w:r>
          </w:p>
          <w:p w:rsidR="00AE1F67" w:rsidRPr="00045472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20F26" w:rsidRPr="001821FB" w:rsidTr="00ED7080">
        <w:tc>
          <w:tcPr>
            <w:tcW w:w="15701" w:type="dxa"/>
            <w:gridSpan w:val="4"/>
            <w:vAlign w:val="center"/>
          </w:tcPr>
          <w:p w:rsidR="00C20F26" w:rsidRPr="00551718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1B3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B041B3" w:rsidRPr="00B041B3">
              <w:rPr>
                <w:rFonts w:ascii="Times New Roman" w:hAnsi="Times New Roman"/>
                <w:sz w:val="28"/>
                <w:szCs w:val="28"/>
              </w:rPr>
              <w:t>4</w:t>
            </w:r>
            <w:r w:rsidRPr="00B041B3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B041B3" w:rsidRPr="00B041B3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B041B3">
              <w:rPr>
                <w:rFonts w:ascii="Times New Roman" w:hAnsi="Times New Roman"/>
                <w:sz w:val="28"/>
                <w:szCs w:val="28"/>
              </w:rPr>
              <w:t>достигнуто, показатель числа родившихся на 1000 человек населения округа по состоянию на 01 января 202</w:t>
            </w:r>
            <w:r w:rsidR="00B041B3" w:rsidRPr="00B041B3">
              <w:rPr>
                <w:rFonts w:ascii="Times New Roman" w:hAnsi="Times New Roman"/>
                <w:sz w:val="28"/>
                <w:szCs w:val="28"/>
              </w:rPr>
              <w:t>5</w:t>
            </w:r>
            <w:r w:rsidRPr="00B041B3">
              <w:rPr>
                <w:rFonts w:ascii="Times New Roman" w:hAnsi="Times New Roman"/>
                <w:sz w:val="28"/>
                <w:szCs w:val="28"/>
              </w:rPr>
              <w:t xml:space="preserve"> года составил </w:t>
            </w:r>
            <w:r w:rsidR="00CB2596">
              <w:rPr>
                <w:rFonts w:ascii="Times New Roman" w:hAnsi="Times New Roman"/>
                <w:sz w:val="28"/>
                <w:szCs w:val="28"/>
              </w:rPr>
              <w:t>6,6</w:t>
            </w:r>
            <w:r w:rsidR="00B041B3" w:rsidRPr="00B041B3">
              <w:rPr>
                <w:rFonts w:ascii="Times New Roman" w:hAnsi="Times New Roman"/>
                <w:sz w:val="28"/>
                <w:szCs w:val="28"/>
              </w:rPr>
              <w:t xml:space="preserve"> промилле</w:t>
            </w:r>
            <w:r w:rsidRPr="00B041B3">
              <w:rPr>
                <w:rFonts w:ascii="Times New Roman" w:hAnsi="Times New Roman"/>
                <w:sz w:val="28"/>
                <w:szCs w:val="28"/>
              </w:rPr>
              <w:t>. На рождаемость в округе, так же как и в целом по краю и Российской Федерации, оказывает влияние сокращение числа женщин р</w:t>
            </w:r>
            <w:r w:rsidRPr="00551718">
              <w:rPr>
                <w:rFonts w:ascii="Times New Roman" w:hAnsi="Times New Roman"/>
                <w:sz w:val="28"/>
                <w:szCs w:val="28"/>
              </w:rPr>
              <w:t xml:space="preserve">епродуктивного возраста (20-39 лет).  </w:t>
            </w:r>
          </w:p>
          <w:p w:rsidR="00D456F0" w:rsidRPr="00D456F0" w:rsidRDefault="00C20F26" w:rsidP="00B041B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1718">
              <w:rPr>
                <w:rFonts w:ascii="Times New Roman" w:hAnsi="Times New Roman"/>
                <w:sz w:val="28"/>
                <w:szCs w:val="28"/>
              </w:rPr>
              <w:t>Важнейшим направлением в решении социальных пробле</w:t>
            </w:r>
            <w:r w:rsidR="00D456F0">
              <w:rPr>
                <w:rFonts w:ascii="Times New Roman" w:hAnsi="Times New Roman"/>
                <w:sz w:val="28"/>
                <w:szCs w:val="28"/>
              </w:rPr>
              <w:t xml:space="preserve">м является </w:t>
            </w:r>
            <w:r w:rsidR="00D456F0" w:rsidRPr="00D456F0">
              <w:rPr>
                <w:rFonts w:ascii="Times New Roman" w:hAnsi="Times New Roman"/>
                <w:sz w:val="28"/>
                <w:szCs w:val="28"/>
              </w:rPr>
              <w:t xml:space="preserve">социальная поддержка, в том числе </w:t>
            </w:r>
            <w:r w:rsidRPr="00D456F0">
              <w:rPr>
                <w:rFonts w:ascii="Times New Roman" w:hAnsi="Times New Roman"/>
                <w:sz w:val="28"/>
                <w:szCs w:val="28"/>
              </w:rPr>
              <w:t>семьи, материнства, отцовства и детства</w:t>
            </w:r>
            <w:r w:rsidRPr="00B041B3">
              <w:rPr>
                <w:rFonts w:ascii="Times New Roman" w:hAnsi="Times New Roman"/>
                <w:sz w:val="28"/>
                <w:szCs w:val="28"/>
              </w:rPr>
              <w:t>. Общий объем финансирования на предоставление в 202</w:t>
            </w:r>
            <w:r w:rsidR="00B041B3" w:rsidRPr="00B041B3">
              <w:rPr>
                <w:rFonts w:ascii="Times New Roman" w:hAnsi="Times New Roman"/>
                <w:sz w:val="28"/>
                <w:szCs w:val="28"/>
              </w:rPr>
              <w:t>4</w:t>
            </w:r>
            <w:r w:rsidRPr="00B041B3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D456F0" w:rsidRPr="00B041B3">
              <w:rPr>
                <w:rFonts w:ascii="Times New Roman" w:hAnsi="Times New Roman"/>
                <w:sz w:val="28"/>
                <w:szCs w:val="28"/>
              </w:rPr>
              <w:t>мер социальной поддержки</w:t>
            </w:r>
            <w:r w:rsidRPr="00B04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41B3" w:rsidRPr="00B041B3">
              <w:rPr>
                <w:rFonts w:ascii="Times New Roman" w:hAnsi="Times New Roman"/>
                <w:sz w:val="28"/>
                <w:szCs w:val="28"/>
              </w:rPr>
              <w:t xml:space="preserve">на выплаты  семьям с детьми  </w:t>
            </w:r>
            <w:r w:rsidRPr="00B041B3">
              <w:rPr>
                <w:rFonts w:ascii="Times New Roman" w:hAnsi="Times New Roman"/>
                <w:sz w:val="28"/>
                <w:szCs w:val="28"/>
              </w:rPr>
              <w:t xml:space="preserve">составил </w:t>
            </w:r>
            <w:r w:rsidR="00B041B3" w:rsidRPr="00B041B3">
              <w:rPr>
                <w:rFonts w:ascii="Times New Roman" w:hAnsi="Times New Roman"/>
                <w:sz w:val="28"/>
                <w:szCs w:val="28"/>
              </w:rPr>
              <w:t>55,8</w:t>
            </w:r>
            <w:r w:rsidR="00D456F0" w:rsidRPr="00B04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41B3">
              <w:rPr>
                <w:rFonts w:ascii="Times New Roman" w:hAnsi="Times New Roman"/>
                <w:sz w:val="28"/>
                <w:szCs w:val="28"/>
              </w:rPr>
              <w:t xml:space="preserve">миллионов рублей, общая численность получателей составила </w:t>
            </w:r>
            <w:r w:rsidR="00B041B3" w:rsidRPr="00B041B3">
              <w:rPr>
                <w:rFonts w:ascii="Times New Roman" w:hAnsi="Times New Roman"/>
                <w:sz w:val="28"/>
                <w:szCs w:val="28"/>
              </w:rPr>
              <w:t>1797</w:t>
            </w:r>
            <w:r w:rsidR="00D456F0" w:rsidRPr="00B041B3">
              <w:rPr>
                <w:rFonts w:ascii="Times New Roman" w:hAnsi="Times New Roman"/>
                <w:sz w:val="28"/>
                <w:szCs w:val="28"/>
              </w:rPr>
              <w:t xml:space="preserve"> человек</w:t>
            </w:r>
            <w:r w:rsidRPr="00B041B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20F26" w:rsidRPr="001821FB" w:rsidTr="00ED7080">
        <w:tc>
          <w:tcPr>
            <w:tcW w:w="15701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1.2. Формирование привлекательных условий для роста посещения округа туристами и экскурсантами</w:t>
            </w:r>
          </w:p>
        </w:tc>
      </w:tr>
      <w:tr w:rsidR="00AE1F67" w:rsidRPr="001821FB" w:rsidTr="00063C71">
        <w:tc>
          <w:tcPr>
            <w:tcW w:w="9325" w:type="dxa"/>
            <w:gridSpan w:val="2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Темп роста числа введенных в эксплуатацию объектов социальной инфраструктуры, процентов к предыдущему году</w:t>
            </w:r>
          </w:p>
        </w:tc>
        <w:tc>
          <w:tcPr>
            <w:tcW w:w="4109" w:type="dxa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117,0</w:t>
            </w:r>
          </w:p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AE1F67" w:rsidRPr="004D5EFE" w:rsidRDefault="00FF5BCB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F5BCB">
              <w:rPr>
                <w:rFonts w:ascii="Times New Roman" w:hAnsi="Times New Roman"/>
                <w:sz w:val="28"/>
                <w:szCs w:val="28"/>
              </w:rPr>
              <w:t>118,0</w:t>
            </w:r>
          </w:p>
        </w:tc>
      </w:tr>
      <w:tr w:rsidR="00C20F26" w:rsidRPr="001821FB" w:rsidTr="00ED7080">
        <w:tc>
          <w:tcPr>
            <w:tcW w:w="15701" w:type="dxa"/>
            <w:gridSpan w:val="4"/>
          </w:tcPr>
          <w:p w:rsidR="00C20F26" w:rsidRPr="00FF5BC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BCB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FF5BCB" w:rsidRPr="00FF5BCB">
              <w:rPr>
                <w:rFonts w:ascii="Times New Roman" w:hAnsi="Times New Roman"/>
                <w:sz w:val="28"/>
                <w:szCs w:val="28"/>
              </w:rPr>
              <w:t>4</w:t>
            </w:r>
            <w:r w:rsidRPr="00FF5BCB">
              <w:rPr>
                <w:rFonts w:ascii="Times New Roman" w:hAnsi="Times New Roman"/>
                <w:sz w:val="28"/>
                <w:szCs w:val="28"/>
              </w:rPr>
              <w:t xml:space="preserve"> году достигнуто, темп роста числа введенных в эксплуатацию объектов социальной инфраструктуры составил </w:t>
            </w:r>
            <w:r w:rsidR="009344CC" w:rsidRPr="00FF5BCB">
              <w:rPr>
                <w:rFonts w:ascii="Times New Roman" w:hAnsi="Times New Roman"/>
                <w:sz w:val="28"/>
                <w:szCs w:val="28"/>
              </w:rPr>
              <w:t>11</w:t>
            </w:r>
            <w:r w:rsidR="00FF5BCB" w:rsidRPr="00FF5BCB">
              <w:rPr>
                <w:rFonts w:ascii="Times New Roman" w:hAnsi="Times New Roman"/>
                <w:sz w:val="28"/>
                <w:szCs w:val="28"/>
              </w:rPr>
              <w:t>8,0</w:t>
            </w:r>
            <w:r w:rsidRPr="00FF5BCB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  <w:r w:rsidR="009344CC" w:rsidRPr="00FF5BCB">
              <w:rPr>
                <w:rFonts w:ascii="Times New Roman" w:hAnsi="Times New Roman"/>
                <w:sz w:val="28"/>
                <w:szCs w:val="28"/>
              </w:rPr>
              <w:t>а</w:t>
            </w:r>
            <w:r w:rsidRPr="00FF5BCB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C20F26" w:rsidRPr="000A6BAE" w:rsidRDefault="00FF5BCB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104BF">
              <w:rPr>
                <w:rFonts w:ascii="Times New Roman" w:hAnsi="Times New Roman"/>
                <w:sz w:val="28"/>
                <w:szCs w:val="28"/>
              </w:rPr>
              <w:t xml:space="preserve">В отчетном году в рамках реализации подпрограммы «Повышение сбалансированности и устойчивости бюджетной системы Ставропольского края государственной программы Ставропольского края «Управление финансами», утвержденной постановлением Правительства Ставропольского края от 26 декабря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1104BF">
                <w:rPr>
                  <w:rFonts w:ascii="Times New Roman" w:hAnsi="Times New Roman"/>
                  <w:sz w:val="28"/>
                  <w:szCs w:val="28"/>
                </w:rPr>
                <w:t>2018 г</w:t>
              </w:r>
            </w:smartTag>
            <w:r w:rsidRPr="001104BF">
              <w:rPr>
                <w:rFonts w:ascii="Times New Roman" w:hAnsi="Times New Roman"/>
                <w:sz w:val="28"/>
                <w:szCs w:val="28"/>
              </w:rPr>
              <w:t xml:space="preserve">. № 598-п при финансовой поддержке работодателей и жителей Ипатовского округа с привлечением средств краевого бюджета  реализованы 16 социальных проектов развития территорий, основанных на местных инициативах, на общую сумму </w:t>
            </w:r>
            <w:r w:rsidRPr="00762ADA">
              <w:rPr>
                <w:rFonts w:ascii="Times New Roman" w:hAnsi="Times New Roman"/>
                <w:sz w:val="28"/>
                <w:szCs w:val="28"/>
              </w:rPr>
              <w:t xml:space="preserve">40,6 миллионов рублей, в том числе средства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Ставропольского края </w:t>
            </w:r>
            <w:r w:rsidRPr="00762ADA">
              <w:rPr>
                <w:rFonts w:ascii="Times New Roman" w:hAnsi="Times New Roman"/>
                <w:sz w:val="28"/>
                <w:szCs w:val="28"/>
              </w:rPr>
              <w:t xml:space="preserve">– 24,6 миллионов рублей, средства бюджета округа – </w:t>
            </w:r>
            <w:r>
              <w:rPr>
                <w:rFonts w:ascii="Times New Roman" w:hAnsi="Times New Roman"/>
                <w:sz w:val="28"/>
                <w:szCs w:val="28"/>
              </w:rPr>
              <w:t>8,5</w:t>
            </w:r>
            <w:r w:rsidRPr="00762ADA">
              <w:rPr>
                <w:rFonts w:ascii="Times New Roman" w:hAnsi="Times New Roman"/>
                <w:sz w:val="28"/>
                <w:szCs w:val="28"/>
              </w:rPr>
              <w:t xml:space="preserve"> миллионов рублей, средства юридических лиц, предпринимателей и физических лиц – 7,5 миллионов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344CC" w:rsidRPr="001821FB" w:rsidRDefault="00FF5BCB" w:rsidP="005B1FD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2F0E">
              <w:rPr>
                <w:rFonts w:ascii="Times New Roman" w:hAnsi="Times New Roman"/>
                <w:sz w:val="28"/>
                <w:szCs w:val="28"/>
              </w:rPr>
              <w:t xml:space="preserve">Кроме того, в отчетном году в </w:t>
            </w:r>
            <w:proofErr w:type="spellStart"/>
            <w:r w:rsidRPr="00552F0E">
              <w:rPr>
                <w:rFonts w:ascii="Times New Roman" w:hAnsi="Times New Roman"/>
                <w:sz w:val="28"/>
                <w:szCs w:val="28"/>
              </w:rPr>
              <w:t>Ипатовском</w:t>
            </w:r>
            <w:proofErr w:type="spellEnd"/>
            <w:r w:rsidRPr="00552F0E">
              <w:rPr>
                <w:rFonts w:ascii="Times New Roman" w:hAnsi="Times New Roman"/>
                <w:sz w:val="28"/>
                <w:szCs w:val="28"/>
              </w:rPr>
              <w:t xml:space="preserve"> округе осуществлялась реализация 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552F0E">
              <w:rPr>
                <w:rFonts w:ascii="Times New Roman" w:hAnsi="Times New Roman"/>
                <w:sz w:val="28"/>
                <w:szCs w:val="28"/>
              </w:rPr>
              <w:t xml:space="preserve"> инициативных проектов, которые были включены в основные мероприятия муниципальных программ на общую сумму </w:t>
            </w:r>
            <w:r w:rsidRPr="00CF0481">
              <w:rPr>
                <w:rFonts w:ascii="Times New Roman" w:hAnsi="Times New Roman"/>
                <w:sz w:val="28"/>
                <w:szCs w:val="28"/>
              </w:rPr>
              <w:t xml:space="preserve">14,6 миллионов рублей, в том числе </w:t>
            </w:r>
            <w:r>
              <w:rPr>
                <w:rFonts w:ascii="Times New Roman" w:hAnsi="Times New Roman"/>
                <w:sz w:val="28"/>
                <w:szCs w:val="28"/>
              </w:rPr>
              <w:t>13,1</w:t>
            </w:r>
            <w:r w:rsidRPr="00CF0481">
              <w:rPr>
                <w:rFonts w:ascii="Times New Roman" w:hAnsi="Times New Roman"/>
                <w:sz w:val="28"/>
                <w:szCs w:val="28"/>
              </w:rPr>
              <w:t xml:space="preserve"> миллионов рублей средств бюджета округа и 1,5 миллионов рублей средств юридических лиц, предпринимателей и физических ли</w:t>
            </w:r>
            <w:r w:rsidRPr="00FF5BCB">
              <w:rPr>
                <w:rFonts w:ascii="Times New Roman" w:hAnsi="Times New Roman"/>
                <w:sz w:val="28"/>
                <w:szCs w:val="28"/>
              </w:rPr>
              <w:t>ц</w:t>
            </w:r>
            <w:r w:rsidR="009344CC" w:rsidRPr="00FF5BC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E1F67" w:rsidRPr="001821FB" w:rsidTr="00C40F19">
        <w:tc>
          <w:tcPr>
            <w:tcW w:w="9325" w:type="dxa"/>
            <w:gridSpan w:val="2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Уровень зарегистрированной безработицы, в процентах</w:t>
            </w:r>
          </w:p>
        </w:tc>
        <w:tc>
          <w:tcPr>
            <w:tcW w:w="4109" w:type="dxa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2267" w:type="dxa"/>
          </w:tcPr>
          <w:p w:rsidR="00AE1F67" w:rsidRPr="004D5EFE" w:rsidRDefault="00AE1F67" w:rsidP="000A6BA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B1FDE">
              <w:rPr>
                <w:rFonts w:ascii="Times New Roman" w:hAnsi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C20F26" w:rsidRPr="001821FB" w:rsidTr="00ED7080">
        <w:tc>
          <w:tcPr>
            <w:tcW w:w="15701" w:type="dxa"/>
            <w:gridSpan w:val="4"/>
          </w:tcPr>
          <w:p w:rsidR="00A52213" w:rsidRPr="00B75764" w:rsidRDefault="00C20F26" w:rsidP="00A5221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BCB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0A6BAE" w:rsidRPr="00FF5BCB">
              <w:rPr>
                <w:rFonts w:ascii="Times New Roman" w:hAnsi="Times New Roman"/>
                <w:sz w:val="28"/>
                <w:szCs w:val="28"/>
              </w:rPr>
              <w:t>4</w:t>
            </w:r>
            <w:r w:rsidRPr="00FF5BCB">
              <w:rPr>
                <w:rFonts w:ascii="Times New Roman" w:hAnsi="Times New Roman"/>
                <w:sz w:val="28"/>
                <w:szCs w:val="28"/>
              </w:rPr>
              <w:t xml:space="preserve"> году достигнуто, по состоянию на 01 января 202</w:t>
            </w:r>
            <w:r w:rsidR="00FF5BCB" w:rsidRPr="00FF5BCB">
              <w:rPr>
                <w:rFonts w:ascii="Times New Roman" w:hAnsi="Times New Roman"/>
                <w:sz w:val="28"/>
                <w:szCs w:val="28"/>
              </w:rPr>
              <w:t>5</w:t>
            </w:r>
            <w:r w:rsidRPr="00FF5BCB">
              <w:rPr>
                <w:rFonts w:ascii="Times New Roman" w:hAnsi="Times New Roman"/>
                <w:sz w:val="28"/>
                <w:szCs w:val="28"/>
              </w:rPr>
              <w:t xml:space="preserve"> года составил </w:t>
            </w:r>
            <w:r w:rsidR="005B1FDE" w:rsidRPr="00FF5BCB">
              <w:rPr>
                <w:rFonts w:ascii="Times New Roman" w:hAnsi="Times New Roman"/>
                <w:sz w:val="28"/>
                <w:szCs w:val="28"/>
              </w:rPr>
              <w:t>0,</w:t>
            </w:r>
            <w:r w:rsidR="00FF5BCB" w:rsidRPr="00FF5BCB">
              <w:rPr>
                <w:rFonts w:ascii="Times New Roman" w:hAnsi="Times New Roman"/>
                <w:sz w:val="28"/>
                <w:szCs w:val="28"/>
              </w:rPr>
              <w:t>66</w:t>
            </w:r>
            <w:r w:rsidRPr="00FF5BCB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  <w:r w:rsidR="005B1FDE" w:rsidRPr="00FF5BCB">
              <w:rPr>
                <w:rFonts w:ascii="Times New Roman" w:hAnsi="Times New Roman"/>
                <w:sz w:val="28"/>
                <w:szCs w:val="28"/>
              </w:rPr>
              <w:t>ов</w:t>
            </w:r>
            <w:r w:rsidRPr="00FF5BCB">
              <w:rPr>
                <w:rFonts w:ascii="Times New Roman" w:hAnsi="Times New Roman"/>
                <w:sz w:val="28"/>
                <w:szCs w:val="28"/>
              </w:rPr>
              <w:t xml:space="preserve">, что ниже планового показателя </w:t>
            </w:r>
            <w:r w:rsidR="005B1FDE" w:rsidRPr="00FF5BCB">
              <w:rPr>
                <w:rFonts w:ascii="Times New Roman" w:hAnsi="Times New Roman"/>
                <w:sz w:val="28"/>
                <w:szCs w:val="28"/>
              </w:rPr>
              <w:t xml:space="preserve">2024 года </w:t>
            </w:r>
            <w:r w:rsidRPr="00FF5BCB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0A6BAE" w:rsidRPr="00FF5BCB">
              <w:rPr>
                <w:rFonts w:ascii="Times New Roman" w:hAnsi="Times New Roman"/>
                <w:sz w:val="28"/>
                <w:szCs w:val="28"/>
              </w:rPr>
              <w:t>0,64</w:t>
            </w:r>
            <w:r w:rsidRPr="00FF5BCB">
              <w:rPr>
                <w:rFonts w:ascii="Times New Roman" w:hAnsi="Times New Roman"/>
                <w:sz w:val="28"/>
                <w:szCs w:val="28"/>
              </w:rPr>
              <w:t xml:space="preserve"> процентны</w:t>
            </w:r>
            <w:r w:rsidR="005B1FDE" w:rsidRPr="00FF5BCB">
              <w:rPr>
                <w:rFonts w:ascii="Times New Roman" w:hAnsi="Times New Roman"/>
                <w:sz w:val="28"/>
                <w:szCs w:val="28"/>
              </w:rPr>
              <w:t>х</w:t>
            </w:r>
            <w:r w:rsidRPr="00FF5BCB">
              <w:rPr>
                <w:rFonts w:ascii="Times New Roman" w:hAnsi="Times New Roman"/>
                <w:sz w:val="28"/>
                <w:szCs w:val="28"/>
              </w:rPr>
              <w:t xml:space="preserve"> пункт</w:t>
            </w:r>
            <w:r w:rsidR="005B1FDE" w:rsidRPr="00FF5BCB">
              <w:rPr>
                <w:rFonts w:ascii="Times New Roman" w:hAnsi="Times New Roman"/>
                <w:sz w:val="28"/>
                <w:szCs w:val="28"/>
              </w:rPr>
              <w:t>а</w:t>
            </w:r>
            <w:r w:rsidRPr="00FF5BC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52213" w:rsidRPr="00E533C0">
              <w:rPr>
                <w:rFonts w:ascii="Times New Roman" w:hAnsi="Times New Roman"/>
                <w:sz w:val="28"/>
                <w:szCs w:val="28"/>
              </w:rPr>
              <w:t xml:space="preserve">В отчетном году из 726 человек, обратившихся в Территориальный центр занятости населения первого уровня </w:t>
            </w:r>
            <w:proofErr w:type="spellStart"/>
            <w:r w:rsidR="00A52213" w:rsidRPr="00E533C0">
              <w:rPr>
                <w:rFonts w:ascii="Times New Roman" w:hAnsi="Times New Roman"/>
                <w:sz w:val="28"/>
                <w:szCs w:val="28"/>
              </w:rPr>
              <w:t>Апанасенковского</w:t>
            </w:r>
            <w:proofErr w:type="spellEnd"/>
            <w:r w:rsidR="00A52213" w:rsidRPr="00E533C0">
              <w:rPr>
                <w:rFonts w:ascii="Times New Roman" w:hAnsi="Times New Roman"/>
                <w:sz w:val="28"/>
                <w:szCs w:val="28"/>
              </w:rPr>
              <w:t>, Ипатовского, Петровского и Туркменского округов (далее</w:t>
            </w:r>
            <w:r w:rsidR="00A522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2213" w:rsidRPr="00E533C0">
              <w:rPr>
                <w:rFonts w:ascii="Times New Roman" w:hAnsi="Times New Roman"/>
                <w:sz w:val="28"/>
                <w:szCs w:val="28"/>
              </w:rPr>
              <w:t>- Центр занятости), 456 человек были трудоустроены, что составляет 62,8 процентов от общего числа обратившихся.</w:t>
            </w:r>
            <w:r w:rsidR="00A522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2213" w:rsidRPr="00B75764">
              <w:rPr>
                <w:rFonts w:ascii="Times New Roman" w:hAnsi="Times New Roman"/>
                <w:sz w:val="28"/>
                <w:szCs w:val="28"/>
              </w:rPr>
              <w:t xml:space="preserve">Численность официально зарегистрированных безработных в </w:t>
            </w:r>
            <w:r w:rsidR="00A52213">
              <w:rPr>
                <w:rFonts w:ascii="Times New Roman" w:hAnsi="Times New Roman"/>
                <w:sz w:val="28"/>
                <w:szCs w:val="28"/>
              </w:rPr>
              <w:t xml:space="preserve">Центр занятости </w:t>
            </w:r>
            <w:r w:rsidR="00A52213" w:rsidRPr="00792840">
              <w:rPr>
                <w:rFonts w:ascii="Times New Roman" w:hAnsi="Times New Roman"/>
                <w:sz w:val="28"/>
                <w:szCs w:val="28"/>
              </w:rPr>
              <w:t>составила 207 человек (на 01 января 2024 года – 290 человек</w:t>
            </w:r>
            <w:r w:rsidR="00A52213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A52213" w:rsidRPr="00E533C0" w:rsidRDefault="00A52213" w:rsidP="00A52213">
            <w:pPr>
              <w:tabs>
                <w:tab w:val="left" w:pos="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3C0">
              <w:rPr>
                <w:rFonts w:ascii="Times New Roman" w:hAnsi="Times New Roman"/>
                <w:sz w:val="28"/>
                <w:szCs w:val="28"/>
              </w:rPr>
              <w:t xml:space="preserve">В сфере содействия занятости населения и защиты граждан от безработицы Центром занятости совместно с администрацией Ипатовского округа в отчетном году с организациями заключено 23 договора и трудоустроено в летний период в свободное от </w:t>
            </w:r>
            <w:r w:rsidRPr="00E533C0">
              <w:rPr>
                <w:rFonts w:ascii="Times New Roman" w:hAnsi="Times New Roman"/>
                <w:sz w:val="28"/>
                <w:szCs w:val="28"/>
              </w:rPr>
              <w:lastRenderedPageBreak/>
              <w:t>учебы время 130 несовершеннолетних граждан в возрасте от 14 до 18 лет.</w:t>
            </w:r>
          </w:p>
          <w:p w:rsidR="00A52213" w:rsidRPr="00FF69B9" w:rsidRDefault="00A52213" w:rsidP="00A52213">
            <w:pPr>
              <w:tabs>
                <w:tab w:val="left" w:pos="0"/>
                <w:tab w:val="left" w:pos="54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9B9">
              <w:rPr>
                <w:rFonts w:ascii="Times New Roman" w:hAnsi="Times New Roman"/>
                <w:sz w:val="28"/>
                <w:szCs w:val="28"/>
              </w:rPr>
              <w:t xml:space="preserve">Кроме </w:t>
            </w:r>
            <w:proofErr w:type="gramStart"/>
            <w:r w:rsidRPr="00FF69B9">
              <w:rPr>
                <w:rFonts w:ascii="Times New Roman" w:hAnsi="Times New Roman"/>
                <w:sz w:val="28"/>
                <w:szCs w:val="28"/>
              </w:rPr>
              <w:t>того,  в</w:t>
            </w:r>
            <w:proofErr w:type="gramEnd"/>
            <w:r w:rsidRPr="00FF69B9">
              <w:rPr>
                <w:rFonts w:ascii="Times New Roman" w:hAnsi="Times New Roman"/>
                <w:sz w:val="28"/>
                <w:szCs w:val="28"/>
              </w:rPr>
              <w:t xml:space="preserve"> результате проведенной работы с работодателями в 2024 году трудоустроено на общественные работы 15 человек. На финансовое обеспечение затрат по трудоустройству Центром занятости работодателям перечислены денежные средства в сумме 1 127,4 тысяч рублей.</w:t>
            </w:r>
          </w:p>
          <w:p w:rsidR="00A52213" w:rsidRPr="00FF69B9" w:rsidRDefault="00A52213" w:rsidP="00A5221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sz w:val="28"/>
                <w:szCs w:val="28"/>
              </w:rPr>
            </w:pPr>
            <w:r w:rsidRPr="00FF69B9">
              <w:rPr>
                <w:rFonts w:ascii="Times New Roman" w:hAnsi="Times New Roman"/>
                <w:sz w:val="28"/>
                <w:szCs w:val="28"/>
              </w:rPr>
              <w:t>Центром занятости направлены на профессиональную подготовку, переподготовку и повышение квалификации 23 человека,</w:t>
            </w:r>
            <w:r w:rsidRPr="00FF69B9">
              <w:rPr>
                <w:sz w:val="28"/>
                <w:szCs w:val="28"/>
              </w:rPr>
              <w:t xml:space="preserve"> </w:t>
            </w:r>
            <w:r w:rsidRPr="00FF69B9">
              <w:rPr>
                <w:rFonts w:ascii="Times New Roman" w:hAnsi="Times New Roman"/>
                <w:sz w:val="28"/>
                <w:szCs w:val="28"/>
              </w:rPr>
              <w:t>оказаны услуги по профессиональной ориентации 497 гражданам, по социальной адаптации безработных граждан на рынке труда 107 гражданам, психологической поддержки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69B9">
              <w:rPr>
                <w:rFonts w:ascii="Times New Roman" w:hAnsi="Times New Roman"/>
                <w:sz w:val="28"/>
                <w:szCs w:val="28"/>
              </w:rPr>
              <w:t xml:space="preserve">105 гражданам. Оказана государственная услуга по содействию </w:t>
            </w:r>
            <w:proofErr w:type="spellStart"/>
            <w:r w:rsidRPr="00FF69B9">
              <w:rPr>
                <w:rFonts w:ascii="Times New Roman" w:hAnsi="Times New Roman"/>
                <w:sz w:val="28"/>
                <w:szCs w:val="28"/>
              </w:rPr>
              <w:t>самозанятости</w:t>
            </w:r>
            <w:proofErr w:type="spellEnd"/>
            <w:r w:rsidRPr="00FF69B9">
              <w:rPr>
                <w:rFonts w:ascii="Times New Roman" w:hAnsi="Times New Roman"/>
                <w:sz w:val="28"/>
                <w:szCs w:val="28"/>
              </w:rPr>
              <w:t xml:space="preserve"> 8 безработным гражданам, результатом которой стало оформление двух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F69B9">
              <w:rPr>
                <w:rFonts w:ascii="Times New Roman" w:hAnsi="Times New Roman"/>
                <w:sz w:val="28"/>
                <w:szCs w:val="28"/>
              </w:rPr>
              <w:t>самозанятых</w:t>
            </w:r>
            <w:proofErr w:type="spellEnd"/>
            <w:r w:rsidRPr="00FF69B9">
              <w:rPr>
                <w:rFonts w:ascii="Times New Roman" w:hAnsi="Times New Roman"/>
                <w:sz w:val="28"/>
                <w:szCs w:val="28"/>
              </w:rPr>
              <w:t xml:space="preserve"> граждан.</w:t>
            </w:r>
          </w:p>
          <w:p w:rsidR="00A52213" w:rsidRPr="00FF69B9" w:rsidRDefault="00A52213" w:rsidP="00A52213">
            <w:pPr>
              <w:pStyle w:val="a9"/>
              <w:shd w:val="clear" w:color="auto" w:fill="FFFFFF"/>
              <w:spacing w:after="0" w:line="240" w:lineRule="exact"/>
              <w:jc w:val="both"/>
              <w:rPr>
                <w:sz w:val="28"/>
                <w:szCs w:val="28"/>
              </w:rPr>
            </w:pPr>
            <w:r w:rsidRPr="00FF69B9">
              <w:rPr>
                <w:sz w:val="28"/>
                <w:szCs w:val="28"/>
                <w:lang w:val="ru-RU"/>
              </w:rPr>
              <w:t xml:space="preserve">На временные работы трудоустроено 5 граждан, испытывающих трудности в поиске работы и 2 </w:t>
            </w:r>
            <w:proofErr w:type="gramStart"/>
            <w:r w:rsidRPr="00FF69B9">
              <w:rPr>
                <w:sz w:val="28"/>
                <w:szCs w:val="28"/>
                <w:lang w:val="ru-RU"/>
              </w:rPr>
              <w:t>гражданина</w:t>
            </w:r>
            <w:proofErr w:type="gramEnd"/>
            <w:r w:rsidRPr="00FF69B9">
              <w:rPr>
                <w:sz w:val="28"/>
                <w:szCs w:val="28"/>
                <w:lang w:val="ru-RU"/>
              </w:rPr>
              <w:t xml:space="preserve"> были трудоустроены на общественные работы, как ищущие работу, без выплаты материальной поддержки.</w:t>
            </w:r>
            <w:r w:rsidRPr="00FF69B9">
              <w:rPr>
                <w:sz w:val="28"/>
                <w:szCs w:val="28"/>
              </w:rPr>
              <w:t xml:space="preserve"> </w:t>
            </w:r>
          </w:p>
          <w:p w:rsidR="00A52213" w:rsidRPr="00FF69B9" w:rsidRDefault="00A52213" w:rsidP="00A52213">
            <w:pPr>
              <w:pStyle w:val="a9"/>
              <w:shd w:val="clear" w:color="auto" w:fill="FFFFFF"/>
              <w:spacing w:after="0" w:line="240" w:lineRule="exact"/>
              <w:jc w:val="both"/>
              <w:rPr>
                <w:sz w:val="28"/>
                <w:szCs w:val="28"/>
                <w:lang w:val="ru-RU"/>
              </w:rPr>
            </w:pPr>
            <w:r w:rsidRPr="00FF69B9">
              <w:rPr>
                <w:sz w:val="28"/>
                <w:szCs w:val="28"/>
                <w:lang w:val="ru-RU"/>
              </w:rPr>
              <w:t>В</w:t>
            </w:r>
            <w:r w:rsidRPr="00FF69B9">
              <w:rPr>
                <w:sz w:val="28"/>
                <w:szCs w:val="28"/>
              </w:rPr>
              <w:t xml:space="preserve"> рамках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FF69B9">
              <w:rPr>
                <w:sz w:val="28"/>
                <w:szCs w:val="28"/>
                <w:lang w:val="ru-RU"/>
              </w:rPr>
              <w:t xml:space="preserve">осуществления мероприятий </w:t>
            </w:r>
            <w:r w:rsidRPr="00FF69B9">
              <w:rPr>
                <w:sz w:val="28"/>
                <w:szCs w:val="28"/>
              </w:rPr>
              <w:t>национального проекта «Демография»</w:t>
            </w:r>
            <w:r w:rsidRPr="00FF69B9">
              <w:rPr>
                <w:sz w:val="28"/>
                <w:szCs w:val="28"/>
                <w:lang w:val="ru-RU"/>
              </w:rPr>
              <w:t xml:space="preserve"> по </w:t>
            </w:r>
            <w:r w:rsidRPr="00FF69B9">
              <w:rPr>
                <w:sz w:val="28"/>
                <w:szCs w:val="28"/>
              </w:rPr>
              <w:t>профессиональн</w:t>
            </w:r>
            <w:r w:rsidRPr="00FF69B9">
              <w:rPr>
                <w:sz w:val="28"/>
                <w:szCs w:val="28"/>
                <w:lang w:val="ru-RU"/>
              </w:rPr>
              <w:t>ому</w:t>
            </w:r>
            <w:r w:rsidRPr="00FF69B9">
              <w:rPr>
                <w:sz w:val="28"/>
                <w:szCs w:val="28"/>
              </w:rPr>
              <w:t xml:space="preserve"> обучени</w:t>
            </w:r>
            <w:r w:rsidRPr="00FF69B9">
              <w:rPr>
                <w:sz w:val="28"/>
                <w:szCs w:val="28"/>
                <w:lang w:val="ru-RU"/>
              </w:rPr>
              <w:t>ю</w:t>
            </w:r>
            <w:r w:rsidRPr="00FF69B9">
              <w:rPr>
                <w:sz w:val="28"/>
                <w:szCs w:val="28"/>
              </w:rPr>
              <w:t xml:space="preserve"> и дополнительно</w:t>
            </w:r>
            <w:r w:rsidRPr="00FF69B9">
              <w:rPr>
                <w:sz w:val="28"/>
                <w:szCs w:val="28"/>
                <w:lang w:val="ru-RU"/>
              </w:rPr>
              <w:t>му</w:t>
            </w:r>
            <w:r w:rsidRPr="00FF69B9">
              <w:rPr>
                <w:sz w:val="28"/>
                <w:szCs w:val="28"/>
              </w:rPr>
              <w:t xml:space="preserve"> профессионально</w:t>
            </w:r>
            <w:r w:rsidRPr="00FF69B9">
              <w:rPr>
                <w:sz w:val="28"/>
                <w:szCs w:val="28"/>
                <w:lang w:val="ru-RU"/>
              </w:rPr>
              <w:t>му</w:t>
            </w:r>
            <w:r w:rsidRPr="00FF69B9">
              <w:rPr>
                <w:sz w:val="28"/>
                <w:szCs w:val="28"/>
              </w:rPr>
              <w:t xml:space="preserve"> образовани</w:t>
            </w:r>
            <w:r w:rsidRPr="00FF69B9">
              <w:rPr>
                <w:sz w:val="28"/>
                <w:szCs w:val="28"/>
                <w:lang w:val="ru-RU"/>
              </w:rPr>
              <w:t xml:space="preserve">ю лиц в возрасте 50-ти лет и старше, женщин, находящихся в отпуске по уходу за ребенком в возрасте до трех лет и </w:t>
            </w:r>
            <w:proofErr w:type="gramStart"/>
            <w:r w:rsidRPr="00FF69B9">
              <w:rPr>
                <w:sz w:val="28"/>
                <w:szCs w:val="28"/>
                <w:lang w:val="ru-RU"/>
              </w:rPr>
              <w:t>безработных граждан</w:t>
            </w:r>
            <w:proofErr w:type="gramEnd"/>
            <w:r w:rsidRPr="00FF69B9">
              <w:rPr>
                <w:sz w:val="28"/>
                <w:szCs w:val="28"/>
                <w:lang w:val="ru-RU"/>
              </w:rPr>
              <w:t xml:space="preserve"> прошли обучение 45 человек.</w:t>
            </w:r>
            <w:r w:rsidRPr="00FF69B9">
              <w:rPr>
                <w:sz w:val="28"/>
                <w:szCs w:val="28"/>
              </w:rPr>
              <w:t xml:space="preserve"> </w:t>
            </w:r>
          </w:p>
          <w:p w:rsidR="00AC390E" w:rsidRPr="005B1FDE" w:rsidRDefault="00A52213" w:rsidP="00A5221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9B9">
              <w:rPr>
                <w:rFonts w:ascii="Times New Roman" w:hAnsi="Times New Roman"/>
                <w:sz w:val="28"/>
                <w:szCs w:val="28"/>
              </w:rPr>
              <w:t>В рамках реализации мероприятий по содействию в трудоустройстве незанятых инвалидов в 2024 году из 44 обратившихся 20 инвалидов трудоустроены, в том числе 3 на оборудованные рабочие места, при этом работодателям выплачена компенсация расходов на создание (оснащение) постоянного рабочего места для инвалида в сумме 265,5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</w:tc>
      </w:tr>
      <w:tr w:rsidR="00AE1F67" w:rsidRPr="001821FB" w:rsidTr="007F0B60">
        <w:tc>
          <w:tcPr>
            <w:tcW w:w="9325" w:type="dxa"/>
            <w:gridSpan w:val="2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lastRenderedPageBreak/>
              <w:t>Темп роста среднемесячной заработной платы, процентов к предыдущему году</w:t>
            </w:r>
          </w:p>
        </w:tc>
        <w:tc>
          <w:tcPr>
            <w:tcW w:w="4109" w:type="dxa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115,0</w:t>
            </w:r>
          </w:p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AE1F67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119,7 </w:t>
            </w:r>
          </w:p>
          <w:p w:rsidR="00AE1F67" w:rsidRPr="004D5EFE" w:rsidRDefault="00AE1F67" w:rsidP="000A6BA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20F26" w:rsidRPr="001821FB" w:rsidTr="00ED7080">
        <w:tc>
          <w:tcPr>
            <w:tcW w:w="15701" w:type="dxa"/>
            <w:gridSpan w:val="4"/>
          </w:tcPr>
          <w:p w:rsidR="00505E18" w:rsidRPr="004F2CF0" w:rsidRDefault="00C20F26" w:rsidP="007634F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6B13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AD6B13" w:rsidRPr="00AD6B13">
              <w:rPr>
                <w:rFonts w:ascii="Times New Roman" w:hAnsi="Times New Roman"/>
                <w:sz w:val="28"/>
                <w:szCs w:val="28"/>
              </w:rPr>
              <w:t>4</w:t>
            </w:r>
            <w:r w:rsidRPr="00AD6B13">
              <w:rPr>
                <w:rFonts w:ascii="Times New Roman" w:hAnsi="Times New Roman"/>
                <w:sz w:val="28"/>
                <w:szCs w:val="28"/>
              </w:rPr>
              <w:t xml:space="preserve"> году достигнуто, по состоянию на 01 января 202</w:t>
            </w:r>
            <w:r w:rsidR="00AD6B13" w:rsidRPr="00AD6B13">
              <w:rPr>
                <w:rFonts w:ascii="Times New Roman" w:hAnsi="Times New Roman"/>
                <w:sz w:val="28"/>
                <w:szCs w:val="28"/>
              </w:rPr>
              <w:t>5</w:t>
            </w:r>
            <w:r w:rsidRPr="00AD6B13">
              <w:rPr>
                <w:rFonts w:ascii="Times New Roman" w:hAnsi="Times New Roman"/>
                <w:sz w:val="28"/>
                <w:szCs w:val="28"/>
              </w:rPr>
              <w:t xml:space="preserve"> года среднемесячная заработная плата в крупных и средних организациях округа сложилась в размере </w:t>
            </w:r>
            <w:r w:rsidR="00AD6B13" w:rsidRPr="00AD6B13">
              <w:rPr>
                <w:rFonts w:ascii="Times New Roman" w:hAnsi="Times New Roman"/>
                <w:sz w:val="28"/>
                <w:szCs w:val="28"/>
              </w:rPr>
              <w:t>50 214,3</w:t>
            </w:r>
            <w:r w:rsidR="00F11FFE" w:rsidRPr="00AD6B13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Pr="00AD6B13">
              <w:rPr>
                <w:rFonts w:ascii="Times New Roman" w:hAnsi="Times New Roman"/>
                <w:sz w:val="28"/>
                <w:szCs w:val="28"/>
              </w:rPr>
              <w:t xml:space="preserve">, или </w:t>
            </w:r>
            <w:r w:rsidR="00AD6B13" w:rsidRPr="00AD6B13">
              <w:rPr>
                <w:rFonts w:ascii="Times New Roman" w:hAnsi="Times New Roman"/>
                <w:sz w:val="28"/>
                <w:szCs w:val="28"/>
              </w:rPr>
              <w:t>119,7</w:t>
            </w:r>
            <w:r w:rsidRPr="00AD6B13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  <w:r w:rsidR="00F11FFE" w:rsidRPr="00AD6B13">
              <w:rPr>
                <w:rFonts w:ascii="Times New Roman" w:hAnsi="Times New Roman"/>
                <w:sz w:val="28"/>
                <w:szCs w:val="28"/>
              </w:rPr>
              <w:t>ов</w:t>
            </w:r>
            <w:r w:rsidRPr="00AD6B13">
              <w:rPr>
                <w:rFonts w:ascii="Times New Roman" w:hAnsi="Times New Roman"/>
                <w:sz w:val="28"/>
                <w:szCs w:val="28"/>
              </w:rPr>
              <w:t xml:space="preserve"> к уровню 202</w:t>
            </w:r>
            <w:r w:rsidR="00AD6B13" w:rsidRPr="00AD6B13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AD6B13">
              <w:rPr>
                <w:rFonts w:ascii="Times New Roman" w:hAnsi="Times New Roman"/>
                <w:sz w:val="28"/>
                <w:szCs w:val="28"/>
              </w:rPr>
              <w:t>года</w:t>
            </w:r>
            <w:r w:rsidR="00F11FFE" w:rsidRPr="00AD6B1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20F26" w:rsidRPr="001821FB" w:rsidTr="00ED7080">
        <w:tc>
          <w:tcPr>
            <w:tcW w:w="15701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2: Формирование условий для здоровой жизни в комфортной среде с динамичными возможностями профессиональной самореализации</w:t>
            </w:r>
          </w:p>
        </w:tc>
      </w:tr>
      <w:tr w:rsidR="00C20F26" w:rsidRPr="001821FB" w:rsidTr="00ED7080">
        <w:tc>
          <w:tcPr>
            <w:tcW w:w="15701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2.1. Повышение конкурентоспособного образования</w:t>
            </w:r>
          </w:p>
        </w:tc>
      </w:tr>
      <w:tr w:rsidR="00AE1F67" w:rsidRPr="001821FB" w:rsidTr="0092440B">
        <w:tc>
          <w:tcPr>
            <w:tcW w:w="9325" w:type="dxa"/>
            <w:gridSpan w:val="2"/>
            <w:shd w:val="clear" w:color="auto" w:fill="auto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5-18 лет), в процентах</w:t>
            </w:r>
          </w:p>
        </w:tc>
        <w:tc>
          <w:tcPr>
            <w:tcW w:w="4109" w:type="dxa"/>
            <w:shd w:val="clear" w:color="auto" w:fill="auto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72,5</w:t>
            </w:r>
          </w:p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shd w:val="clear" w:color="auto" w:fill="auto"/>
          </w:tcPr>
          <w:p w:rsidR="00AE1F67" w:rsidRPr="004D5EFE" w:rsidRDefault="00AE1F67" w:rsidP="008C6AD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2440B">
              <w:rPr>
                <w:rFonts w:ascii="Times New Roman" w:hAnsi="Times New Roman"/>
                <w:sz w:val="28"/>
                <w:szCs w:val="28"/>
              </w:rPr>
              <w:t>75,</w:t>
            </w:r>
            <w:r w:rsidR="008C6AD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20F26" w:rsidRPr="001821FB" w:rsidTr="0092440B">
        <w:tc>
          <w:tcPr>
            <w:tcW w:w="15701" w:type="dxa"/>
            <w:gridSpan w:val="4"/>
            <w:shd w:val="clear" w:color="auto" w:fill="auto"/>
          </w:tcPr>
          <w:p w:rsidR="00C20F26" w:rsidRPr="000A6BAE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2440B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92440B" w:rsidRPr="0092440B">
              <w:rPr>
                <w:rFonts w:ascii="Times New Roman" w:hAnsi="Times New Roman"/>
                <w:sz w:val="28"/>
                <w:szCs w:val="28"/>
              </w:rPr>
              <w:t>4</w:t>
            </w:r>
            <w:r w:rsidRPr="0092440B">
              <w:rPr>
                <w:rFonts w:ascii="Times New Roman" w:hAnsi="Times New Roman"/>
                <w:sz w:val="28"/>
                <w:szCs w:val="28"/>
              </w:rPr>
              <w:t xml:space="preserve"> году достигнуто, 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5-18 лет) по состоянию на 01 января 202</w:t>
            </w:r>
            <w:r w:rsidR="0092440B" w:rsidRPr="0092440B">
              <w:rPr>
                <w:rFonts w:ascii="Times New Roman" w:hAnsi="Times New Roman"/>
                <w:sz w:val="28"/>
                <w:szCs w:val="28"/>
              </w:rPr>
              <w:t>5</w:t>
            </w:r>
            <w:r w:rsidRPr="0092440B">
              <w:rPr>
                <w:rFonts w:ascii="Times New Roman" w:hAnsi="Times New Roman"/>
                <w:sz w:val="28"/>
                <w:szCs w:val="28"/>
              </w:rPr>
              <w:t xml:space="preserve"> года составил </w:t>
            </w:r>
            <w:r w:rsidR="00CE774E" w:rsidRPr="0092440B">
              <w:rPr>
                <w:rFonts w:ascii="Times New Roman" w:hAnsi="Times New Roman"/>
                <w:sz w:val="28"/>
                <w:szCs w:val="28"/>
              </w:rPr>
              <w:t>75,</w:t>
            </w:r>
            <w:r w:rsidR="008C6AD9">
              <w:rPr>
                <w:rFonts w:ascii="Times New Roman" w:hAnsi="Times New Roman"/>
                <w:sz w:val="28"/>
                <w:szCs w:val="28"/>
              </w:rPr>
              <w:t>5</w:t>
            </w:r>
            <w:r w:rsidRPr="0092440B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  <w:r w:rsidR="00CE774E" w:rsidRPr="0092440B">
              <w:rPr>
                <w:rFonts w:ascii="Times New Roman" w:hAnsi="Times New Roman"/>
                <w:sz w:val="28"/>
                <w:szCs w:val="28"/>
              </w:rPr>
              <w:t>а</w:t>
            </w:r>
            <w:r w:rsidRPr="0092440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20F26" w:rsidRPr="0092440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40B">
              <w:rPr>
                <w:rFonts w:ascii="Times New Roman" w:hAnsi="Times New Roman"/>
                <w:sz w:val="28"/>
                <w:szCs w:val="28"/>
              </w:rPr>
              <w:t xml:space="preserve">Сведения об охвате детей и подростков дополнительным образованием вносятся в «Навигатор» дополнительного образования детей Ставропольского края (информационный портал). В нем представлена единая база детских объединений (кружков, секций, студий, ансамблей) различной направленности для детей от 5 до 18 лет. Навигатор обеспечивает доступ к современным </w:t>
            </w:r>
            <w:r w:rsidRPr="009244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общеобразовательным программам дополнительного образования и позволяет родителям (законным представителям) и обучающимся получить исчерпывающую информацию о дополнительном образовании в Ставропольском крае и получить доступ к записи. </w:t>
            </w:r>
          </w:p>
          <w:p w:rsidR="00C20F26" w:rsidRPr="008C6AD9" w:rsidRDefault="008C6AD9" w:rsidP="00CE774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C6AD9">
              <w:rPr>
                <w:rFonts w:ascii="Times New Roman" w:hAnsi="Times New Roman"/>
                <w:sz w:val="28"/>
                <w:szCs w:val="28"/>
              </w:rPr>
              <w:t>В автоматизированную информационную систему «Навигатор дополнительного образования детей Ставропольского края» внесены 37 образовательных организаций, имеющие лицензию на реализацию 479 дополнительных общеобразовательных программ, в том числе 222 программы, реализуемых в «Точках роста».</w:t>
            </w:r>
          </w:p>
        </w:tc>
      </w:tr>
      <w:tr w:rsidR="00C20F26" w:rsidRPr="001821FB" w:rsidTr="00ED7080">
        <w:tc>
          <w:tcPr>
            <w:tcW w:w="15701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lastRenderedPageBreak/>
              <w:t>Задача 2.2. Создание условий, ориентирующих граждан на здоровый образ жизни</w:t>
            </w:r>
          </w:p>
        </w:tc>
      </w:tr>
      <w:tr w:rsidR="00AE1F67" w:rsidRPr="001821FB" w:rsidTr="008246D8">
        <w:tc>
          <w:tcPr>
            <w:tcW w:w="9325" w:type="dxa"/>
            <w:gridSpan w:val="2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Общий коэффициент смертности, число умерших на 1 тыс. населения</w:t>
            </w:r>
          </w:p>
        </w:tc>
        <w:tc>
          <w:tcPr>
            <w:tcW w:w="4109" w:type="dxa"/>
          </w:tcPr>
          <w:p w:rsidR="00AE1F67" w:rsidRPr="00680EF0" w:rsidRDefault="002C37C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</w:t>
            </w:r>
            <w:r w:rsidR="000F3DF2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AE1F67" w:rsidRPr="002C37C7" w:rsidRDefault="00AE1F67" w:rsidP="002C37C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7C7">
              <w:rPr>
                <w:rFonts w:ascii="Times New Roman" w:hAnsi="Times New Roman"/>
                <w:sz w:val="28"/>
                <w:szCs w:val="28"/>
              </w:rPr>
              <w:t>14,</w:t>
            </w:r>
            <w:r w:rsidR="002C37C7" w:rsidRPr="002C37C7">
              <w:rPr>
                <w:rFonts w:ascii="Times New Roman" w:hAnsi="Times New Roman"/>
                <w:sz w:val="28"/>
                <w:szCs w:val="28"/>
              </w:rPr>
              <w:t>2</w:t>
            </w:r>
            <w:r w:rsidRPr="002C37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7C7">
              <w:rPr>
                <w:rFonts w:ascii="Times New Roman" w:hAnsi="Times New Roman"/>
                <w:sz w:val="26"/>
                <w:szCs w:val="26"/>
              </w:rPr>
              <w:t>(положительный)</w:t>
            </w:r>
          </w:p>
        </w:tc>
      </w:tr>
      <w:tr w:rsidR="00C20F26" w:rsidRPr="001821FB" w:rsidTr="00ED7080">
        <w:tc>
          <w:tcPr>
            <w:tcW w:w="15701" w:type="dxa"/>
            <w:gridSpan w:val="4"/>
          </w:tcPr>
          <w:p w:rsidR="00C20F26" w:rsidRPr="002C37C7" w:rsidRDefault="00C20F26" w:rsidP="009C00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37C7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2C37C7" w:rsidRPr="002C37C7">
              <w:rPr>
                <w:rFonts w:ascii="Times New Roman" w:hAnsi="Times New Roman"/>
                <w:sz w:val="28"/>
                <w:szCs w:val="28"/>
              </w:rPr>
              <w:t>4</w:t>
            </w:r>
            <w:r w:rsidRPr="002C37C7">
              <w:rPr>
                <w:rFonts w:ascii="Times New Roman" w:hAnsi="Times New Roman"/>
                <w:sz w:val="28"/>
                <w:szCs w:val="28"/>
              </w:rPr>
              <w:t xml:space="preserve"> году достигнуто, коэффициент умерших граждан на 1000 населения в отчетном году составил </w:t>
            </w:r>
            <w:r w:rsidR="00C123AD" w:rsidRPr="002C37C7">
              <w:rPr>
                <w:rFonts w:ascii="Times New Roman" w:hAnsi="Times New Roman"/>
                <w:sz w:val="28"/>
                <w:szCs w:val="28"/>
              </w:rPr>
              <w:t>14,</w:t>
            </w:r>
            <w:r w:rsidR="002C37C7" w:rsidRPr="002C37C7">
              <w:rPr>
                <w:rFonts w:ascii="Times New Roman" w:hAnsi="Times New Roman"/>
                <w:sz w:val="28"/>
                <w:szCs w:val="28"/>
              </w:rPr>
              <w:t>2</w:t>
            </w:r>
            <w:r w:rsidRPr="002C37C7">
              <w:rPr>
                <w:rFonts w:ascii="Times New Roman" w:hAnsi="Times New Roman"/>
                <w:sz w:val="28"/>
                <w:szCs w:val="28"/>
              </w:rPr>
              <w:t xml:space="preserve"> промилле, что </w:t>
            </w:r>
            <w:r w:rsidR="00C123AD" w:rsidRPr="002C37C7">
              <w:rPr>
                <w:rFonts w:ascii="Times New Roman" w:hAnsi="Times New Roman"/>
                <w:sz w:val="28"/>
                <w:szCs w:val="28"/>
              </w:rPr>
              <w:t>ниже</w:t>
            </w:r>
            <w:r w:rsidRPr="002C37C7">
              <w:rPr>
                <w:rFonts w:ascii="Times New Roman" w:hAnsi="Times New Roman"/>
                <w:sz w:val="28"/>
                <w:szCs w:val="28"/>
              </w:rPr>
              <w:t xml:space="preserve"> планово</w:t>
            </w:r>
            <w:r w:rsidR="00C123AD" w:rsidRPr="002C37C7">
              <w:rPr>
                <w:rFonts w:ascii="Times New Roman" w:hAnsi="Times New Roman"/>
                <w:sz w:val="28"/>
                <w:szCs w:val="28"/>
              </w:rPr>
              <w:t>го</w:t>
            </w:r>
            <w:r w:rsidRPr="002C37C7">
              <w:rPr>
                <w:rFonts w:ascii="Times New Roman" w:hAnsi="Times New Roman"/>
                <w:sz w:val="28"/>
                <w:szCs w:val="28"/>
              </w:rPr>
              <w:t xml:space="preserve"> показател</w:t>
            </w:r>
            <w:r w:rsidR="00C123AD" w:rsidRPr="002C37C7">
              <w:rPr>
                <w:rFonts w:ascii="Times New Roman" w:hAnsi="Times New Roman"/>
                <w:sz w:val="28"/>
                <w:szCs w:val="28"/>
              </w:rPr>
              <w:t>я 2024 года</w:t>
            </w:r>
            <w:r w:rsidR="002C37C7">
              <w:rPr>
                <w:rFonts w:ascii="Times New Roman" w:hAnsi="Times New Roman"/>
                <w:sz w:val="28"/>
                <w:szCs w:val="28"/>
              </w:rPr>
              <w:t xml:space="preserve"> на 0,</w:t>
            </w:r>
            <w:r w:rsidR="000F3DF2">
              <w:rPr>
                <w:rFonts w:ascii="Times New Roman" w:hAnsi="Times New Roman"/>
                <w:sz w:val="28"/>
                <w:szCs w:val="28"/>
              </w:rPr>
              <w:t>6</w:t>
            </w:r>
            <w:r w:rsidR="002C37C7">
              <w:rPr>
                <w:rFonts w:ascii="Times New Roman" w:hAnsi="Times New Roman"/>
                <w:sz w:val="28"/>
                <w:szCs w:val="28"/>
              </w:rPr>
              <w:t xml:space="preserve"> процентных пункта</w:t>
            </w:r>
            <w:r w:rsidRPr="002C37C7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8F5D37" w:rsidRPr="000F32D8" w:rsidRDefault="008F5D37" w:rsidP="008F5D37">
            <w:pPr>
              <w:tabs>
                <w:tab w:val="left" w:pos="0"/>
              </w:tabs>
              <w:spacing w:after="0"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32D8">
              <w:rPr>
                <w:rFonts w:ascii="Times New Roman" w:hAnsi="Times New Roman"/>
                <w:sz w:val="28"/>
                <w:szCs w:val="28"/>
              </w:rPr>
              <w:t xml:space="preserve">Медицинскую помощь населению оказывает </w:t>
            </w:r>
            <w:r w:rsidRPr="000F32D8">
              <w:rPr>
                <w:rStyle w:val="st"/>
                <w:rFonts w:ascii="Times New Roman" w:hAnsi="Times New Roman"/>
                <w:sz w:val="28"/>
                <w:szCs w:val="28"/>
              </w:rPr>
              <w:t>государственное бюджетное учреждение здравоохранения Ставропольского края «</w:t>
            </w:r>
            <w:proofErr w:type="spellStart"/>
            <w:r w:rsidRPr="000F32D8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Ипатовская</w:t>
            </w:r>
            <w:proofErr w:type="spellEnd"/>
            <w:r w:rsidRPr="000F32D8">
              <w:rPr>
                <w:rStyle w:val="st"/>
                <w:rFonts w:ascii="Times New Roman" w:hAnsi="Times New Roman"/>
                <w:sz w:val="28"/>
                <w:szCs w:val="28"/>
              </w:rPr>
              <w:t xml:space="preserve"> районная больница» (далее - ГБУЗ СК </w:t>
            </w:r>
            <w:proofErr w:type="spellStart"/>
            <w:r w:rsidRPr="000F32D8">
              <w:rPr>
                <w:rStyle w:val="st"/>
                <w:rFonts w:ascii="Times New Roman" w:hAnsi="Times New Roman"/>
                <w:sz w:val="28"/>
                <w:szCs w:val="28"/>
              </w:rPr>
              <w:t>Ипатовская</w:t>
            </w:r>
            <w:proofErr w:type="spellEnd"/>
            <w:r w:rsidRPr="000F32D8">
              <w:rPr>
                <w:rStyle w:val="st"/>
                <w:rFonts w:ascii="Times New Roman" w:hAnsi="Times New Roman"/>
                <w:sz w:val="28"/>
                <w:szCs w:val="28"/>
              </w:rPr>
              <w:t xml:space="preserve"> РБ)</w:t>
            </w:r>
            <w:r w:rsidRPr="000F32D8">
              <w:rPr>
                <w:rFonts w:ascii="Times New Roman" w:hAnsi="Times New Roman"/>
                <w:sz w:val="28"/>
                <w:szCs w:val="28"/>
              </w:rPr>
              <w:t xml:space="preserve">, в состав которой входят 3 поликлиники (районная, детская, стоматологическая), стационар, две участковые больницы </w:t>
            </w:r>
            <w:r w:rsidRPr="000F32D8">
              <w:rPr>
                <w:rFonts w:ascii="Times New Roman" w:eastAsia="Arial" w:hAnsi="Times New Roman"/>
                <w:sz w:val="28"/>
                <w:szCs w:val="28"/>
                <w:lang w:eastAsia="en-US"/>
              </w:rPr>
              <w:t>(в п. Красочном на 25 коек, в с. Тахта 35 коек)</w:t>
            </w:r>
            <w:r w:rsidRPr="000F32D8">
              <w:rPr>
                <w:rFonts w:ascii="Times New Roman" w:hAnsi="Times New Roman"/>
                <w:sz w:val="28"/>
                <w:szCs w:val="28"/>
              </w:rPr>
              <w:t>, 11 амбулаторий (</w:t>
            </w:r>
            <w:r w:rsidRPr="000F32D8">
              <w:rPr>
                <w:rFonts w:ascii="Times New Roman" w:eastAsia="Arial" w:hAnsi="Times New Roman"/>
                <w:sz w:val="28"/>
                <w:szCs w:val="28"/>
                <w:lang w:eastAsia="en-US"/>
              </w:rPr>
              <w:t>при одной функционирует дневной стационар на 8 коек)</w:t>
            </w:r>
            <w:r w:rsidRPr="000F32D8">
              <w:rPr>
                <w:rFonts w:ascii="Times New Roman" w:hAnsi="Times New Roman"/>
                <w:sz w:val="28"/>
                <w:szCs w:val="28"/>
              </w:rPr>
              <w:t xml:space="preserve">, 16 </w:t>
            </w:r>
            <w:proofErr w:type="spellStart"/>
            <w:r w:rsidRPr="000F32D8">
              <w:rPr>
                <w:rFonts w:ascii="Times New Roman" w:hAnsi="Times New Roman"/>
                <w:sz w:val="28"/>
                <w:szCs w:val="28"/>
              </w:rPr>
              <w:t>фельдшерско</w:t>
            </w:r>
            <w:proofErr w:type="spellEnd"/>
            <w:r w:rsidRPr="000F32D8">
              <w:rPr>
                <w:rFonts w:ascii="Times New Roman" w:hAnsi="Times New Roman"/>
                <w:sz w:val="28"/>
                <w:szCs w:val="28"/>
              </w:rPr>
              <w:t xml:space="preserve"> – акушерских пунктов, </w:t>
            </w:r>
            <w:proofErr w:type="spellStart"/>
            <w:r w:rsidRPr="000F32D8">
              <w:rPr>
                <w:rFonts w:ascii="Times New Roman" w:hAnsi="Times New Roman"/>
                <w:sz w:val="28"/>
                <w:szCs w:val="28"/>
              </w:rPr>
              <w:t>лечебно</w:t>
            </w:r>
            <w:proofErr w:type="spellEnd"/>
            <w:r w:rsidRPr="000F32D8">
              <w:rPr>
                <w:rFonts w:ascii="Times New Roman" w:hAnsi="Times New Roman"/>
                <w:sz w:val="28"/>
                <w:szCs w:val="28"/>
              </w:rPr>
              <w:t xml:space="preserve"> – диагностический корпус. На территории Ипатовского округа имеется государственное бюджетное учреждение здравоохранения Ставропольского края «Краевая специализированная туберкулезная больница», 2 </w:t>
            </w:r>
            <w:proofErr w:type="spellStart"/>
            <w:r w:rsidRPr="000F32D8">
              <w:rPr>
                <w:rFonts w:ascii="Times New Roman" w:hAnsi="Times New Roman"/>
                <w:sz w:val="28"/>
                <w:szCs w:val="28"/>
              </w:rPr>
              <w:t>клинико</w:t>
            </w:r>
            <w:proofErr w:type="spellEnd"/>
            <w:r w:rsidRPr="000F32D8">
              <w:rPr>
                <w:rFonts w:ascii="Times New Roman" w:hAnsi="Times New Roman"/>
                <w:sz w:val="28"/>
                <w:szCs w:val="28"/>
              </w:rPr>
              <w:t xml:space="preserve"> - диагностические лаборатории, частный медицинский центр «Ваш доктор», 33 аптеки и аптечных пункта.</w:t>
            </w:r>
          </w:p>
          <w:p w:rsidR="008F5D37" w:rsidRPr="000F32D8" w:rsidRDefault="008F5D37" w:rsidP="008F5D3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32D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 отчетном году в рамк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ах реализации краевой программы </w:t>
            </w:r>
            <w:r w:rsidRPr="000F32D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  <w:r w:rsidRPr="000F32D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Программа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F32D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модернизации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F32D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первичного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F32D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звена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F32D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здравоохранения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F32D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F32D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Ставропольском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F32D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крае» (далее- программа)</w:t>
            </w:r>
            <w:r w:rsidRPr="000F32D8">
              <w:rPr>
                <w:rFonts w:ascii="Times New Roman" w:hAnsi="Times New Roman"/>
                <w:sz w:val="28"/>
                <w:szCs w:val="28"/>
              </w:rPr>
              <w:t xml:space="preserve">, по данным ГБУЗ СК </w:t>
            </w:r>
            <w:proofErr w:type="spellStart"/>
            <w:r w:rsidRPr="000F32D8">
              <w:rPr>
                <w:rFonts w:ascii="Times New Roman" w:hAnsi="Times New Roman"/>
                <w:sz w:val="28"/>
                <w:szCs w:val="28"/>
              </w:rPr>
              <w:t>Ипатовская</w:t>
            </w:r>
            <w:proofErr w:type="spellEnd"/>
            <w:r w:rsidRPr="000F32D8">
              <w:rPr>
                <w:rFonts w:ascii="Times New Roman" w:hAnsi="Times New Roman"/>
                <w:sz w:val="28"/>
                <w:szCs w:val="28"/>
              </w:rPr>
              <w:t xml:space="preserve"> РБ завершены работы по капитальному ремонту зданий фельдшерско- акушерского пункта в </w:t>
            </w:r>
            <w:proofErr w:type="spellStart"/>
            <w:r w:rsidRPr="000F32D8">
              <w:rPr>
                <w:rFonts w:ascii="Times New Roman" w:hAnsi="Times New Roman"/>
                <w:sz w:val="28"/>
                <w:szCs w:val="28"/>
              </w:rPr>
              <w:t>с.Лесная</w:t>
            </w:r>
            <w:proofErr w:type="spellEnd"/>
            <w:r w:rsidRPr="000F32D8">
              <w:rPr>
                <w:rFonts w:ascii="Times New Roman" w:hAnsi="Times New Roman"/>
                <w:sz w:val="28"/>
                <w:szCs w:val="28"/>
              </w:rPr>
              <w:t xml:space="preserve"> Дача, стоматологической поликлиники, детской поликлиники. Идет приемка выполненных работ по капитальному ремонту зданий фельдшерско- акушерских пунктов в х.</w:t>
            </w:r>
            <w:r w:rsidR="008C6A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0F32D8">
              <w:rPr>
                <w:rFonts w:ascii="Times New Roman" w:hAnsi="Times New Roman"/>
                <w:sz w:val="28"/>
                <w:szCs w:val="28"/>
              </w:rPr>
              <w:t xml:space="preserve">Мелиорация, </w:t>
            </w:r>
            <w:r w:rsidR="008C6AD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8C6AD9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0F32D8">
              <w:rPr>
                <w:rFonts w:ascii="Times New Roman" w:hAnsi="Times New Roman"/>
                <w:sz w:val="28"/>
                <w:szCs w:val="28"/>
              </w:rPr>
              <w:t>п</w:t>
            </w:r>
            <w:r w:rsidR="008C6AD9">
              <w:rPr>
                <w:rFonts w:ascii="Times New Roman" w:hAnsi="Times New Roman"/>
                <w:sz w:val="28"/>
                <w:szCs w:val="28"/>
              </w:rPr>
              <w:t>ос</w:t>
            </w:r>
            <w:r w:rsidRPr="000F32D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0F32D8">
              <w:rPr>
                <w:rFonts w:ascii="Times New Roman" w:hAnsi="Times New Roman"/>
                <w:sz w:val="28"/>
                <w:szCs w:val="28"/>
              </w:rPr>
              <w:t>Винодельненском</w:t>
            </w:r>
            <w:proofErr w:type="spellEnd"/>
            <w:r w:rsidRPr="000F32D8">
              <w:rPr>
                <w:rFonts w:ascii="Times New Roman" w:hAnsi="Times New Roman"/>
                <w:sz w:val="28"/>
                <w:szCs w:val="28"/>
              </w:rPr>
              <w:t>, с.</w:t>
            </w:r>
            <w:r w:rsidR="008C6A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32D8">
              <w:rPr>
                <w:rFonts w:ascii="Times New Roman" w:hAnsi="Times New Roman"/>
                <w:sz w:val="28"/>
                <w:szCs w:val="28"/>
              </w:rPr>
              <w:t>Красная Поляна.</w:t>
            </w:r>
          </w:p>
          <w:p w:rsidR="008F5D37" w:rsidRPr="000F32D8" w:rsidRDefault="008F5D37" w:rsidP="008F5D3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32D8">
              <w:rPr>
                <w:rFonts w:ascii="Times New Roman" w:hAnsi="Times New Roman"/>
                <w:sz w:val="28"/>
                <w:szCs w:val="28"/>
              </w:rPr>
              <w:t>Продолжаются работы по капитальному ремонту терапевтического корпуса районной больницы (терапевтическое отделение, педиатрическое отделение, кабинет лучевой диагностики, дневного стационара).</w:t>
            </w:r>
          </w:p>
          <w:p w:rsidR="008F5D37" w:rsidRPr="000F32D8" w:rsidRDefault="008F5D37" w:rsidP="008F5D3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32D8">
              <w:rPr>
                <w:rFonts w:ascii="Times New Roman" w:hAnsi="Times New Roman"/>
                <w:sz w:val="28"/>
                <w:szCs w:val="28"/>
              </w:rPr>
              <w:t>Также, в рамках вышеуказанной программы в отчетном году приобретено 11 автомобилей.</w:t>
            </w:r>
          </w:p>
          <w:p w:rsidR="008F5D37" w:rsidRPr="000F32D8" w:rsidRDefault="008F5D37" w:rsidP="008F5D3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32D8">
              <w:rPr>
                <w:rFonts w:ascii="Times New Roman" w:hAnsi="Times New Roman"/>
                <w:sz w:val="28"/>
                <w:szCs w:val="28"/>
              </w:rPr>
              <w:t>По-прежнему проблемой для сферы «здравоохранение» является укомплектование кадрами вакантных врачебных должностей и среднего медицинского персонала и проведение капитального ремонта помещений учреждений.</w:t>
            </w:r>
          </w:p>
          <w:p w:rsidR="00C20F26" w:rsidRPr="001821FB" w:rsidRDefault="008F5D37" w:rsidP="008F5D37">
            <w:pPr>
              <w:spacing w:after="0" w:line="240" w:lineRule="exact"/>
              <w:jc w:val="both"/>
            </w:pPr>
            <w:r w:rsidRPr="000F32D8">
              <w:rPr>
                <w:rFonts w:ascii="Times New Roman" w:hAnsi="Times New Roman"/>
                <w:sz w:val="28"/>
                <w:szCs w:val="28"/>
              </w:rPr>
              <w:t xml:space="preserve">На 01 января 2025 года, в целях оказания содействия в привлечении специалистов на территорию Ипатовского муниципального округа, врачу </w:t>
            </w:r>
            <w:r w:rsidRPr="000F32D8">
              <w:rPr>
                <w:rStyle w:val="st"/>
                <w:rFonts w:ascii="Times New Roman" w:hAnsi="Times New Roman"/>
                <w:sz w:val="28"/>
                <w:szCs w:val="28"/>
              </w:rPr>
              <w:t xml:space="preserve">ГБУЗ СК </w:t>
            </w:r>
            <w:proofErr w:type="spellStart"/>
            <w:r w:rsidRPr="000F32D8">
              <w:rPr>
                <w:rStyle w:val="st"/>
                <w:rFonts w:ascii="Times New Roman" w:hAnsi="Times New Roman"/>
                <w:sz w:val="28"/>
                <w:szCs w:val="28"/>
              </w:rPr>
              <w:t>Ипатовская</w:t>
            </w:r>
            <w:proofErr w:type="spellEnd"/>
            <w:r w:rsidRPr="000F32D8">
              <w:rPr>
                <w:rStyle w:val="st"/>
                <w:rFonts w:ascii="Times New Roman" w:hAnsi="Times New Roman"/>
                <w:sz w:val="28"/>
                <w:szCs w:val="28"/>
              </w:rPr>
              <w:t xml:space="preserve"> РБ</w:t>
            </w:r>
            <w:r w:rsidRPr="000F32D8">
              <w:rPr>
                <w:rFonts w:ascii="Times New Roman" w:hAnsi="Times New Roman"/>
                <w:sz w:val="28"/>
                <w:szCs w:val="28"/>
              </w:rPr>
              <w:t xml:space="preserve"> предоставлено муниципальное жилье из специализированного жилищного фонда.</w:t>
            </w:r>
          </w:p>
        </w:tc>
      </w:tr>
      <w:tr w:rsidR="00AE1F67" w:rsidRPr="001821FB" w:rsidTr="00FB2F7A">
        <w:tc>
          <w:tcPr>
            <w:tcW w:w="9325" w:type="dxa"/>
            <w:gridSpan w:val="2"/>
            <w:vAlign w:val="center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Доля населения, систематически занимающегося физической культурой и спортом, процентов</w:t>
            </w:r>
          </w:p>
        </w:tc>
        <w:tc>
          <w:tcPr>
            <w:tcW w:w="4109" w:type="dxa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52,0</w:t>
            </w:r>
          </w:p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AE1F67" w:rsidRPr="004D5EFE" w:rsidRDefault="008C6AD9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C6AD9">
              <w:rPr>
                <w:rFonts w:ascii="Times New Roman" w:hAnsi="Times New Roman"/>
                <w:sz w:val="28"/>
                <w:szCs w:val="28"/>
              </w:rPr>
              <w:t>62,4</w:t>
            </w:r>
          </w:p>
        </w:tc>
      </w:tr>
      <w:tr w:rsidR="00C20F26" w:rsidRPr="001821FB" w:rsidTr="00ED7080">
        <w:tc>
          <w:tcPr>
            <w:tcW w:w="15701" w:type="dxa"/>
            <w:gridSpan w:val="4"/>
            <w:vAlign w:val="center"/>
          </w:tcPr>
          <w:p w:rsidR="00966FC9" w:rsidRPr="00827943" w:rsidRDefault="00C20F26" w:rsidP="00827943">
            <w:pPr>
              <w:shd w:val="clear" w:color="auto" w:fill="FFFFFF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AD9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8C6AD9" w:rsidRPr="008C6AD9">
              <w:rPr>
                <w:rFonts w:ascii="Times New Roman" w:hAnsi="Times New Roman"/>
                <w:sz w:val="28"/>
                <w:szCs w:val="28"/>
              </w:rPr>
              <w:t>4</w:t>
            </w:r>
            <w:r w:rsidRPr="008C6AD9">
              <w:rPr>
                <w:rFonts w:ascii="Times New Roman" w:hAnsi="Times New Roman"/>
                <w:sz w:val="28"/>
                <w:szCs w:val="28"/>
              </w:rPr>
              <w:t xml:space="preserve"> году достигнуто, доля населения, систематически занимающегося физической культурой и спортом составила </w:t>
            </w:r>
            <w:r w:rsidR="008C6AD9" w:rsidRPr="008C6AD9">
              <w:rPr>
                <w:rFonts w:ascii="Times New Roman" w:hAnsi="Times New Roman"/>
                <w:sz w:val="28"/>
                <w:szCs w:val="28"/>
              </w:rPr>
              <w:t>62,4</w:t>
            </w:r>
            <w:r w:rsidRPr="008C6AD9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  <w:r w:rsidR="00966FC9" w:rsidRPr="008C6AD9">
              <w:rPr>
                <w:rFonts w:ascii="Times New Roman" w:hAnsi="Times New Roman"/>
                <w:sz w:val="28"/>
                <w:szCs w:val="28"/>
              </w:rPr>
              <w:t>а</w:t>
            </w:r>
            <w:r w:rsidRPr="008C6AD9">
              <w:rPr>
                <w:rFonts w:ascii="Times New Roman" w:hAnsi="Times New Roman"/>
                <w:sz w:val="28"/>
                <w:szCs w:val="28"/>
              </w:rPr>
              <w:t xml:space="preserve">, превысив плановый показатель </w:t>
            </w:r>
            <w:r w:rsidR="00966FC9" w:rsidRPr="008C6AD9">
              <w:rPr>
                <w:rFonts w:ascii="Times New Roman" w:hAnsi="Times New Roman"/>
                <w:sz w:val="28"/>
                <w:szCs w:val="28"/>
              </w:rPr>
              <w:t xml:space="preserve">2024 года </w:t>
            </w:r>
            <w:r w:rsidRPr="008C6AD9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8C6AD9" w:rsidRPr="008C6AD9">
              <w:rPr>
                <w:rFonts w:ascii="Times New Roman" w:hAnsi="Times New Roman"/>
                <w:sz w:val="28"/>
                <w:szCs w:val="28"/>
              </w:rPr>
              <w:t>10,4</w:t>
            </w:r>
            <w:r w:rsidRPr="008C6AD9">
              <w:rPr>
                <w:rFonts w:ascii="Times New Roman" w:hAnsi="Times New Roman"/>
                <w:sz w:val="28"/>
                <w:szCs w:val="28"/>
              </w:rPr>
              <w:t xml:space="preserve"> процентных пункта</w:t>
            </w:r>
            <w:r w:rsidR="00966FC9" w:rsidRPr="008C6AD9">
              <w:rPr>
                <w:rFonts w:ascii="Times New Roman" w:hAnsi="Times New Roman"/>
                <w:sz w:val="28"/>
                <w:szCs w:val="28"/>
              </w:rPr>
              <w:t>.</w:t>
            </w:r>
            <w:r w:rsidRPr="008C6A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7943" w:rsidRPr="000F32D8">
              <w:rPr>
                <w:rFonts w:ascii="Times New Roman" w:eastAsia="Arial" w:hAnsi="Times New Roman"/>
                <w:sz w:val="28"/>
                <w:szCs w:val="28"/>
                <w:lang w:eastAsia="en-US"/>
              </w:rPr>
              <w:t xml:space="preserve">В </w:t>
            </w:r>
            <w:r w:rsidR="00827943" w:rsidRPr="000F32D8">
              <w:rPr>
                <w:rFonts w:ascii="Times New Roman" w:eastAsia="Arial" w:hAnsi="Times New Roman"/>
                <w:sz w:val="28"/>
                <w:szCs w:val="28"/>
                <w:lang w:eastAsia="en-US"/>
              </w:rPr>
              <w:lastRenderedPageBreak/>
              <w:t xml:space="preserve">настоящее время в </w:t>
            </w:r>
            <w:proofErr w:type="spellStart"/>
            <w:r w:rsidR="00827943" w:rsidRPr="000F32D8">
              <w:rPr>
                <w:rFonts w:ascii="Times New Roman" w:eastAsia="Arial" w:hAnsi="Times New Roman"/>
                <w:sz w:val="28"/>
                <w:szCs w:val="28"/>
                <w:lang w:eastAsia="en-US"/>
              </w:rPr>
              <w:t>Ипатовском</w:t>
            </w:r>
            <w:proofErr w:type="spellEnd"/>
            <w:r w:rsidR="00827943" w:rsidRPr="000F32D8">
              <w:rPr>
                <w:rFonts w:ascii="Times New Roman" w:eastAsia="Arial" w:hAnsi="Times New Roman"/>
                <w:sz w:val="28"/>
                <w:szCs w:val="28"/>
                <w:lang w:eastAsia="en-US"/>
              </w:rPr>
              <w:t xml:space="preserve"> округе насчитывается </w:t>
            </w:r>
            <w:r w:rsidR="00827943" w:rsidRPr="000F32D8">
              <w:rPr>
                <w:rFonts w:ascii="Times New Roman" w:hAnsi="Times New Roman"/>
                <w:sz w:val="28"/>
                <w:szCs w:val="28"/>
              </w:rPr>
              <w:t>122 спортивных</w:t>
            </w:r>
            <w:r w:rsidR="00827943">
              <w:rPr>
                <w:rFonts w:ascii="Times New Roman" w:hAnsi="Times New Roman"/>
                <w:sz w:val="28"/>
                <w:szCs w:val="28"/>
              </w:rPr>
              <w:t xml:space="preserve"> сооружени</w:t>
            </w:r>
            <w:r w:rsidR="00827943" w:rsidRPr="000F32D8">
              <w:rPr>
                <w:rFonts w:ascii="Times New Roman" w:hAnsi="Times New Roman"/>
                <w:sz w:val="28"/>
                <w:szCs w:val="28"/>
              </w:rPr>
              <w:t xml:space="preserve">я, из них стадион и мотодром с трибунами более чем на 1,5 тысячи человек каждый в г. Ипатово, 78 плоскостных спортивных сооружений, 34 спортивных зала, плавательный бассейн для прыжков в воду, стрелковый тир, </w:t>
            </w:r>
            <w:proofErr w:type="spellStart"/>
            <w:r w:rsidR="00827943" w:rsidRPr="000F32D8">
              <w:rPr>
                <w:rFonts w:ascii="Times New Roman" w:hAnsi="Times New Roman"/>
                <w:sz w:val="28"/>
                <w:szCs w:val="28"/>
              </w:rPr>
              <w:t>подтрибунное</w:t>
            </w:r>
            <w:proofErr w:type="spellEnd"/>
            <w:r w:rsidR="00827943" w:rsidRPr="000F32D8">
              <w:rPr>
                <w:rFonts w:ascii="Times New Roman" w:hAnsi="Times New Roman"/>
                <w:sz w:val="28"/>
                <w:szCs w:val="28"/>
              </w:rPr>
              <w:t xml:space="preserve"> помещение стад</w:t>
            </w:r>
            <w:r w:rsidR="00827943">
              <w:rPr>
                <w:rFonts w:ascii="Times New Roman" w:hAnsi="Times New Roman"/>
                <w:sz w:val="28"/>
                <w:szCs w:val="28"/>
              </w:rPr>
              <w:t>иона для занятий дзюдо и самбо.</w:t>
            </w:r>
          </w:p>
          <w:p w:rsidR="00C20F26" w:rsidRPr="00827943" w:rsidRDefault="00827943" w:rsidP="00827943">
            <w:pPr>
              <w:spacing w:after="0" w:line="240" w:lineRule="exact"/>
              <w:jc w:val="both"/>
              <w:rPr>
                <w:rFonts w:ascii="Times New Roman" w:eastAsiaTheme="minorEastAsia" w:hAnsi="Times New Roman"/>
                <w:color w:val="00000A"/>
              </w:rPr>
            </w:pPr>
            <w:r w:rsidRPr="00827943">
              <w:rPr>
                <w:rFonts w:ascii="Times New Roman" w:eastAsiaTheme="minorEastAsia" w:hAnsi="Times New Roman"/>
                <w:color w:val="00000A"/>
                <w:sz w:val="28"/>
                <w:szCs w:val="28"/>
              </w:rPr>
              <w:t xml:space="preserve">В 2024 году учреждением, подведомственным Комитету, организовано и проведено 69 </w:t>
            </w:r>
            <w:r w:rsidRPr="00827943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районных физкультурно-спортивных мероприятий</w:t>
            </w:r>
            <w:r w:rsidRPr="00827943">
              <w:rPr>
                <w:rFonts w:ascii="Times New Roman" w:eastAsiaTheme="minorEastAsia" w:hAnsi="Times New Roman"/>
                <w:color w:val="00000A"/>
                <w:sz w:val="28"/>
                <w:szCs w:val="28"/>
              </w:rPr>
              <w:t xml:space="preserve">, </w:t>
            </w:r>
            <w:r w:rsidRPr="00827943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в которых приняли участие свыше 3000</w:t>
            </w:r>
            <w:r w:rsidRPr="00827943">
              <w:rPr>
                <w:rFonts w:ascii="Times New Roman" w:eastAsia="Calibri" w:hAnsi="Times New Roman"/>
                <w:color w:val="00000A"/>
                <w:sz w:val="28"/>
                <w:szCs w:val="28"/>
                <w:lang w:eastAsia="en-US"/>
              </w:rPr>
              <w:t xml:space="preserve"> человек.</w:t>
            </w:r>
            <w:r w:rsidRPr="00827943">
              <w:rPr>
                <w:rFonts w:ascii="Times New Roman" w:eastAsiaTheme="minorEastAsia" w:hAnsi="Times New Roman"/>
                <w:color w:val="00000A"/>
                <w:sz w:val="28"/>
                <w:szCs w:val="28"/>
              </w:rPr>
              <w:t xml:space="preserve"> 230 спортсмена, в составе спортивных делегаций округа, приняли участие в 28 краевых </w:t>
            </w:r>
            <w:r w:rsidRPr="00827943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и межмуниципальных</w:t>
            </w:r>
            <w:r w:rsidRPr="00827943">
              <w:rPr>
                <w:rFonts w:ascii="Times New Roman" w:eastAsiaTheme="minorEastAsia" w:hAnsi="Times New Roman"/>
                <w:color w:val="00000A"/>
                <w:sz w:val="28"/>
                <w:szCs w:val="28"/>
              </w:rPr>
              <w:t xml:space="preserve"> физкультурно-спортивных мероприятиях. </w:t>
            </w:r>
          </w:p>
        </w:tc>
      </w:tr>
      <w:tr w:rsidR="00C20F26" w:rsidRPr="001821FB" w:rsidTr="00ED7080">
        <w:trPr>
          <w:trHeight w:val="225"/>
        </w:trPr>
        <w:tc>
          <w:tcPr>
            <w:tcW w:w="15701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lastRenderedPageBreak/>
              <w:t>Задача 2.3. Повышение комфортности проживания</w:t>
            </w:r>
          </w:p>
        </w:tc>
      </w:tr>
      <w:tr w:rsidR="00AE1F67" w:rsidRPr="001821FB" w:rsidTr="009660BD">
        <w:trPr>
          <w:trHeight w:val="373"/>
        </w:trPr>
        <w:tc>
          <w:tcPr>
            <w:tcW w:w="9325" w:type="dxa"/>
            <w:gridSpan w:val="2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Ввод в действие жилых домов, тыс. кв. м.</w:t>
            </w:r>
          </w:p>
        </w:tc>
        <w:tc>
          <w:tcPr>
            <w:tcW w:w="4109" w:type="dxa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2267" w:type="dxa"/>
          </w:tcPr>
          <w:p w:rsidR="00AE1F67" w:rsidRPr="000A6BAE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A6BAE">
              <w:rPr>
                <w:rFonts w:ascii="Times New Roman" w:hAnsi="Times New Roman"/>
                <w:sz w:val="28"/>
                <w:szCs w:val="28"/>
              </w:rPr>
              <w:t>6,9</w:t>
            </w:r>
          </w:p>
        </w:tc>
      </w:tr>
      <w:tr w:rsidR="00C20F26" w:rsidRPr="001821FB" w:rsidTr="00ED7080">
        <w:tc>
          <w:tcPr>
            <w:tcW w:w="15701" w:type="dxa"/>
            <w:gridSpan w:val="4"/>
          </w:tcPr>
          <w:p w:rsidR="00C20F26" w:rsidRPr="00B56E62" w:rsidRDefault="00C20F26" w:rsidP="002D34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6E62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B56E62" w:rsidRPr="00B56E62">
              <w:rPr>
                <w:rFonts w:ascii="Times New Roman" w:hAnsi="Times New Roman"/>
                <w:sz w:val="28"/>
                <w:szCs w:val="28"/>
              </w:rPr>
              <w:t>4</w:t>
            </w:r>
            <w:r w:rsidRPr="00B56E62">
              <w:rPr>
                <w:rFonts w:ascii="Times New Roman" w:hAnsi="Times New Roman"/>
                <w:sz w:val="28"/>
                <w:szCs w:val="28"/>
              </w:rPr>
              <w:t xml:space="preserve"> году достигнуто, в отчетном году показатель «Ввод в действие жилых домов за счет всех источников финансирования» составил </w:t>
            </w:r>
            <w:r w:rsidR="00B56E62" w:rsidRPr="00B56E62">
              <w:rPr>
                <w:rFonts w:ascii="Times New Roman" w:hAnsi="Times New Roman"/>
                <w:sz w:val="28"/>
                <w:szCs w:val="28"/>
              </w:rPr>
              <w:t>6859,0</w:t>
            </w:r>
            <w:r w:rsidRPr="00B56E62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B56E62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B56E62">
              <w:rPr>
                <w:rFonts w:ascii="Times New Roman" w:hAnsi="Times New Roman"/>
                <w:sz w:val="28"/>
                <w:szCs w:val="28"/>
              </w:rPr>
              <w:t xml:space="preserve">, или </w:t>
            </w:r>
            <w:r w:rsidR="00B56E62" w:rsidRPr="00B56E62">
              <w:rPr>
                <w:rFonts w:ascii="Times New Roman" w:hAnsi="Times New Roman"/>
                <w:sz w:val="28"/>
                <w:szCs w:val="28"/>
              </w:rPr>
              <w:t>115,0</w:t>
            </w:r>
            <w:r w:rsidRPr="00B56E62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  <w:r w:rsidR="007B136F" w:rsidRPr="00B56E62">
              <w:rPr>
                <w:rFonts w:ascii="Times New Roman" w:hAnsi="Times New Roman"/>
                <w:sz w:val="28"/>
                <w:szCs w:val="28"/>
              </w:rPr>
              <w:t>ов</w:t>
            </w:r>
            <w:r w:rsidRPr="00B56E62">
              <w:rPr>
                <w:rFonts w:ascii="Times New Roman" w:hAnsi="Times New Roman"/>
                <w:sz w:val="28"/>
                <w:szCs w:val="28"/>
              </w:rPr>
              <w:t xml:space="preserve"> к плановому значению</w:t>
            </w:r>
            <w:r w:rsidR="00AB5B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6E62">
              <w:rPr>
                <w:rFonts w:ascii="Times New Roman" w:hAnsi="Times New Roman"/>
                <w:sz w:val="28"/>
                <w:szCs w:val="28"/>
              </w:rPr>
              <w:t>(202</w:t>
            </w:r>
            <w:r w:rsidR="00B56E62" w:rsidRPr="00B56E62">
              <w:rPr>
                <w:rFonts w:ascii="Times New Roman" w:hAnsi="Times New Roman"/>
                <w:sz w:val="28"/>
                <w:szCs w:val="28"/>
              </w:rPr>
              <w:t>3</w:t>
            </w:r>
            <w:r w:rsidRPr="00B56E62">
              <w:rPr>
                <w:rFonts w:ascii="Times New Roman" w:hAnsi="Times New Roman"/>
                <w:sz w:val="28"/>
                <w:szCs w:val="28"/>
              </w:rPr>
              <w:t xml:space="preserve"> г.- </w:t>
            </w:r>
            <w:r w:rsidR="00B56E62" w:rsidRPr="00B56E62">
              <w:rPr>
                <w:rFonts w:ascii="Times New Roman" w:hAnsi="Times New Roman"/>
                <w:sz w:val="28"/>
                <w:szCs w:val="28"/>
              </w:rPr>
              <w:t>4579,0</w:t>
            </w:r>
            <w:r w:rsidRPr="00B56E62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B56E62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B56E62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2D34B1" w:rsidRDefault="002D34B1" w:rsidP="002D34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F1505">
              <w:rPr>
                <w:rFonts w:ascii="Times New Roman" w:hAnsi="Times New Roman"/>
                <w:sz w:val="28"/>
                <w:szCs w:val="28"/>
              </w:rPr>
              <w:t xml:space="preserve">Строительство жилья в </w:t>
            </w:r>
            <w:proofErr w:type="spellStart"/>
            <w:r w:rsidRPr="00DF1505">
              <w:rPr>
                <w:rFonts w:ascii="Times New Roman" w:hAnsi="Times New Roman"/>
                <w:sz w:val="28"/>
                <w:szCs w:val="28"/>
              </w:rPr>
              <w:t>Ипатовском</w:t>
            </w:r>
            <w:proofErr w:type="spellEnd"/>
            <w:r w:rsidRPr="00DF1505">
              <w:rPr>
                <w:rFonts w:ascii="Times New Roman" w:hAnsi="Times New Roman"/>
                <w:sz w:val="28"/>
                <w:szCs w:val="28"/>
              </w:rPr>
              <w:t xml:space="preserve"> округе ведется индивидуальным сектором за счет собственных и привлеченных средств.</w:t>
            </w:r>
          </w:p>
          <w:p w:rsidR="00C20F26" w:rsidRPr="002D34B1" w:rsidRDefault="002D34B1" w:rsidP="002D34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65CB">
              <w:rPr>
                <w:rFonts w:ascii="Times New Roman" w:hAnsi="Times New Roman"/>
                <w:sz w:val="28"/>
                <w:szCs w:val="28"/>
              </w:rPr>
              <w:t>В 2024 году администрацией Ипатовского округа проведена работа по постановке на государственный кадастровый учет 7 объектов капитального строительства, выдано 27 разрешений на строительство и внесение изменений в разрешение на строительство, 8 разрешений на ввод объектов капитального строительства в эксплуатацию.</w:t>
            </w:r>
          </w:p>
        </w:tc>
      </w:tr>
      <w:tr w:rsidR="00C20F26" w:rsidRPr="001821FB" w:rsidTr="00036C55">
        <w:trPr>
          <w:trHeight w:val="401"/>
        </w:trPr>
        <w:tc>
          <w:tcPr>
            <w:tcW w:w="15701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2.4. Реализация культурного потенциала</w:t>
            </w:r>
          </w:p>
        </w:tc>
      </w:tr>
      <w:tr w:rsidR="00AE1F67" w:rsidRPr="001821FB" w:rsidTr="00B254D8">
        <w:tc>
          <w:tcPr>
            <w:tcW w:w="9325" w:type="dxa"/>
            <w:gridSpan w:val="2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Темп роста количества проведенных районных культурно- досуговых мероприятий, процентов к предыдущему году</w:t>
            </w:r>
          </w:p>
        </w:tc>
        <w:tc>
          <w:tcPr>
            <w:tcW w:w="4109" w:type="dxa"/>
          </w:tcPr>
          <w:p w:rsidR="00AE1F67" w:rsidRPr="00680EF0" w:rsidRDefault="00AE1F67" w:rsidP="00680EF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115,5</w:t>
            </w:r>
          </w:p>
        </w:tc>
        <w:tc>
          <w:tcPr>
            <w:tcW w:w="2267" w:type="dxa"/>
          </w:tcPr>
          <w:p w:rsidR="00AE1F67" w:rsidRPr="004D5EFE" w:rsidRDefault="00965FB9" w:rsidP="00AB5B7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65FB9">
              <w:rPr>
                <w:rFonts w:ascii="Times New Roman" w:hAnsi="Times New Roman"/>
                <w:sz w:val="28"/>
                <w:szCs w:val="28"/>
              </w:rPr>
              <w:t>120,</w:t>
            </w:r>
            <w:r w:rsidR="00AB5B7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  <w:vAlign w:val="center"/>
          </w:tcPr>
          <w:p w:rsidR="00C20F26" w:rsidRPr="00BD5510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5510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965FB9" w:rsidRPr="00BD5510">
              <w:rPr>
                <w:rFonts w:ascii="Times New Roman" w:hAnsi="Times New Roman"/>
                <w:sz w:val="28"/>
                <w:szCs w:val="28"/>
              </w:rPr>
              <w:t>4</w:t>
            </w:r>
            <w:r w:rsidRPr="00BD5510">
              <w:rPr>
                <w:rFonts w:ascii="Times New Roman" w:hAnsi="Times New Roman"/>
                <w:sz w:val="28"/>
                <w:szCs w:val="28"/>
              </w:rPr>
              <w:t xml:space="preserve"> году достигнуто, темп роста количества проведенных районных культурно- досуговых мероприятий составил </w:t>
            </w:r>
            <w:r w:rsidR="00BD5510" w:rsidRPr="00BD5510">
              <w:rPr>
                <w:rFonts w:ascii="Times New Roman" w:hAnsi="Times New Roman"/>
                <w:sz w:val="28"/>
                <w:szCs w:val="28"/>
              </w:rPr>
              <w:t>120,</w:t>
            </w:r>
            <w:r w:rsidR="00AB5B7E">
              <w:rPr>
                <w:rFonts w:ascii="Times New Roman" w:hAnsi="Times New Roman"/>
                <w:sz w:val="28"/>
                <w:szCs w:val="28"/>
              </w:rPr>
              <w:t>4</w:t>
            </w:r>
            <w:r w:rsidRPr="00BD5510">
              <w:rPr>
                <w:rFonts w:ascii="Times New Roman" w:hAnsi="Times New Roman"/>
                <w:sz w:val="28"/>
                <w:szCs w:val="28"/>
              </w:rPr>
              <w:t xml:space="preserve"> процентов к предыдущему году.</w:t>
            </w:r>
          </w:p>
          <w:p w:rsidR="00C20F26" w:rsidRPr="002D69A4" w:rsidRDefault="00C20F26" w:rsidP="00AB5B7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5FB9">
              <w:rPr>
                <w:rFonts w:ascii="Times New Roman" w:hAnsi="Times New Roman"/>
                <w:sz w:val="28"/>
                <w:szCs w:val="28"/>
              </w:rPr>
              <w:t>Всего в 202</w:t>
            </w:r>
            <w:r w:rsidR="00965FB9" w:rsidRPr="00965FB9">
              <w:rPr>
                <w:rFonts w:ascii="Times New Roman" w:hAnsi="Times New Roman"/>
                <w:sz w:val="28"/>
                <w:szCs w:val="28"/>
              </w:rPr>
              <w:t>4</w:t>
            </w:r>
            <w:r w:rsidRPr="00965FB9">
              <w:rPr>
                <w:rFonts w:ascii="Times New Roman" w:hAnsi="Times New Roman"/>
                <w:sz w:val="28"/>
                <w:szCs w:val="28"/>
              </w:rPr>
              <w:t xml:space="preserve"> г. было проведено было проведено </w:t>
            </w:r>
            <w:r w:rsidR="00965FB9" w:rsidRPr="00965FB9">
              <w:rPr>
                <w:rFonts w:ascii="Times New Roman" w:hAnsi="Times New Roman"/>
                <w:sz w:val="28"/>
                <w:szCs w:val="28"/>
              </w:rPr>
              <w:t>5</w:t>
            </w:r>
            <w:r w:rsidR="00AB5B7E">
              <w:rPr>
                <w:rFonts w:ascii="Times New Roman" w:hAnsi="Times New Roman"/>
                <w:sz w:val="28"/>
                <w:szCs w:val="28"/>
              </w:rPr>
              <w:t>9</w:t>
            </w:r>
            <w:r w:rsidRPr="00965FB9">
              <w:rPr>
                <w:rFonts w:ascii="Times New Roman" w:hAnsi="Times New Roman"/>
                <w:sz w:val="28"/>
                <w:szCs w:val="28"/>
              </w:rPr>
              <w:t xml:space="preserve"> районных культурно- досуговых мероприятия</w:t>
            </w:r>
            <w:r w:rsidR="00AB5B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5B7E" w:rsidRPr="00510C78">
              <w:rPr>
                <w:rFonts w:ascii="Times New Roman" w:hAnsi="Times New Roman"/>
                <w:sz w:val="28"/>
                <w:szCs w:val="28"/>
              </w:rPr>
              <w:t xml:space="preserve">(2023 год – </w:t>
            </w:r>
            <w:r w:rsidR="00AB5B7E">
              <w:rPr>
                <w:rFonts w:ascii="Times New Roman" w:hAnsi="Times New Roman"/>
                <w:sz w:val="28"/>
                <w:szCs w:val="28"/>
              </w:rPr>
              <w:t>49</w:t>
            </w:r>
            <w:r w:rsidR="00AB5B7E" w:rsidRPr="00965FB9">
              <w:rPr>
                <w:rFonts w:ascii="Times New Roman" w:hAnsi="Times New Roman"/>
                <w:sz w:val="28"/>
                <w:szCs w:val="28"/>
              </w:rPr>
              <w:t xml:space="preserve"> районных культурно- досуговых мероприятия</w:t>
            </w:r>
            <w:r w:rsidR="00AB5B7E" w:rsidRPr="00510C78">
              <w:rPr>
                <w:rFonts w:ascii="Times New Roman" w:hAnsi="Times New Roman"/>
                <w:sz w:val="28"/>
                <w:szCs w:val="28"/>
              </w:rPr>
              <w:t>)</w:t>
            </w:r>
            <w:r w:rsidRPr="00965FB9">
              <w:rPr>
                <w:rFonts w:ascii="Times New Roman" w:hAnsi="Times New Roman"/>
                <w:sz w:val="28"/>
                <w:szCs w:val="28"/>
              </w:rPr>
              <w:t>.</w:t>
            </w:r>
            <w:r w:rsidR="00C00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5FB9">
              <w:rPr>
                <w:rFonts w:ascii="Times New Roman" w:hAnsi="Times New Roman"/>
                <w:sz w:val="28"/>
                <w:szCs w:val="28"/>
              </w:rPr>
              <w:t>Мероприятия были посвящены не только календарным и профессиональным праздникам, но и народным, национальным.</w:t>
            </w:r>
            <w:r w:rsidRPr="002D69A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E1F67" w:rsidRPr="001821FB" w:rsidTr="00F824FA">
        <w:trPr>
          <w:gridBefore w:val="1"/>
          <w:wBefore w:w="6" w:type="dxa"/>
        </w:trPr>
        <w:tc>
          <w:tcPr>
            <w:tcW w:w="9319" w:type="dxa"/>
            <w:vAlign w:val="center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 xml:space="preserve">Темп роста количества граждан, вовлеченных в культурно-досуговую деятельность в </w:t>
            </w:r>
            <w:proofErr w:type="spellStart"/>
            <w:r w:rsidRPr="001821FB">
              <w:rPr>
                <w:rFonts w:ascii="Times New Roman" w:hAnsi="Times New Roman"/>
                <w:sz w:val="28"/>
                <w:szCs w:val="28"/>
              </w:rPr>
              <w:t>Ипатовском</w:t>
            </w:r>
            <w:proofErr w:type="spellEnd"/>
            <w:r w:rsidRPr="001821FB">
              <w:rPr>
                <w:rFonts w:ascii="Times New Roman" w:hAnsi="Times New Roman"/>
                <w:sz w:val="28"/>
                <w:szCs w:val="28"/>
              </w:rPr>
              <w:t xml:space="preserve"> округе, процентов к предыдущему году</w:t>
            </w:r>
          </w:p>
        </w:tc>
        <w:tc>
          <w:tcPr>
            <w:tcW w:w="4109" w:type="dxa"/>
          </w:tcPr>
          <w:p w:rsidR="00AE1F67" w:rsidRPr="00680EF0" w:rsidRDefault="00AE1F67" w:rsidP="00680EF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108,0</w:t>
            </w:r>
          </w:p>
        </w:tc>
        <w:tc>
          <w:tcPr>
            <w:tcW w:w="2267" w:type="dxa"/>
          </w:tcPr>
          <w:p w:rsidR="00AE1F67" w:rsidRPr="00EF1AB5" w:rsidRDefault="00965FB9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65FB9">
              <w:rPr>
                <w:rFonts w:ascii="Times New Roman" w:hAnsi="Times New Roman"/>
                <w:sz w:val="28"/>
                <w:szCs w:val="28"/>
              </w:rPr>
              <w:t>110,1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  <w:vAlign w:val="center"/>
          </w:tcPr>
          <w:p w:rsidR="00C20F26" w:rsidRPr="00AF6AAA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673C5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BD5510" w:rsidRPr="009673C5">
              <w:rPr>
                <w:rFonts w:ascii="Times New Roman" w:hAnsi="Times New Roman"/>
                <w:sz w:val="28"/>
                <w:szCs w:val="28"/>
              </w:rPr>
              <w:t>4</w:t>
            </w:r>
            <w:r w:rsidRPr="009673C5">
              <w:rPr>
                <w:rFonts w:ascii="Times New Roman" w:hAnsi="Times New Roman"/>
                <w:sz w:val="28"/>
                <w:szCs w:val="28"/>
              </w:rPr>
              <w:t xml:space="preserve"> году достигнуто, темп роста количества граждан, вовлеченных в культурно-досуговую деятельность в </w:t>
            </w:r>
            <w:proofErr w:type="spellStart"/>
            <w:r w:rsidRPr="009673C5">
              <w:rPr>
                <w:rFonts w:ascii="Times New Roman" w:hAnsi="Times New Roman"/>
                <w:sz w:val="28"/>
                <w:szCs w:val="28"/>
              </w:rPr>
              <w:t>Ипатовском</w:t>
            </w:r>
            <w:proofErr w:type="spellEnd"/>
            <w:r w:rsidRPr="009673C5">
              <w:rPr>
                <w:rFonts w:ascii="Times New Roman" w:hAnsi="Times New Roman"/>
                <w:sz w:val="28"/>
                <w:szCs w:val="28"/>
              </w:rPr>
              <w:t xml:space="preserve"> округе составил </w:t>
            </w:r>
            <w:r w:rsidR="00510C78" w:rsidRPr="009673C5">
              <w:rPr>
                <w:rFonts w:ascii="Times New Roman" w:hAnsi="Times New Roman"/>
                <w:sz w:val="28"/>
                <w:szCs w:val="28"/>
              </w:rPr>
              <w:t>110,1 процент</w:t>
            </w:r>
            <w:r w:rsidRPr="009673C5">
              <w:rPr>
                <w:rFonts w:ascii="Times New Roman" w:hAnsi="Times New Roman"/>
                <w:sz w:val="28"/>
                <w:szCs w:val="28"/>
              </w:rPr>
              <w:t xml:space="preserve"> к предыдущему году</w:t>
            </w:r>
            <w:r w:rsidR="00FD41CC" w:rsidRPr="009673C5">
              <w:rPr>
                <w:rFonts w:ascii="Times New Roman" w:hAnsi="Times New Roman"/>
                <w:sz w:val="28"/>
                <w:szCs w:val="28"/>
              </w:rPr>
              <w:t xml:space="preserve">, количество граждан, вовлеченных в культурно-досуговую деятельность в </w:t>
            </w:r>
            <w:proofErr w:type="spellStart"/>
            <w:r w:rsidR="00FD41CC" w:rsidRPr="009673C5">
              <w:rPr>
                <w:rFonts w:ascii="Times New Roman" w:hAnsi="Times New Roman"/>
                <w:sz w:val="28"/>
                <w:szCs w:val="28"/>
              </w:rPr>
              <w:t>Ипатовском</w:t>
            </w:r>
            <w:proofErr w:type="spellEnd"/>
            <w:r w:rsidR="00FD41CC" w:rsidRPr="009673C5">
              <w:rPr>
                <w:rFonts w:ascii="Times New Roman" w:hAnsi="Times New Roman"/>
                <w:sz w:val="28"/>
                <w:szCs w:val="28"/>
              </w:rPr>
              <w:t xml:space="preserve"> округе в 202</w:t>
            </w:r>
            <w:r w:rsidR="00510C78" w:rsidRPr="009673C5">
              <w:rPr>
                <w:rFonts w:ascii="Times New Roman" w:hAnsi="Times New Roman"/>
                <w:sz w:val="28"/>
                <w:szCs w:val="28"/>
              </w:rPr>
              <w:t>4</w:t>
            </w:r>
            <w:r w:rsidR="00FD41CC" w:rsidRPr="009673C5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FD41CC" w:rsidRPr="00906CFF">
              <w:rPr>
                <w:rFonts w:ascii="Times New Roman" w:hAnsi="Times New Roman"/>
                <w:sz w:val="28"/>
                <w:szCs w:val="28"/>
              </w:rPr>
              <w:t xml:space="preserve">составило </w:t>
            </w:r>
            <w:r w:rsidR="00906CFF" w:rsidRPr="00906CFF">
              <w:rPr>
                <w:rFonts w:ascii="Times New Roman" w:hAnsi="Times New Roman"/>
                <w:sz w:val="28"/>
                <w:szCs w:val="28"/>
              </w:rPr>
              <w:t>480 752</w:t>
            </w:r>
            <w:r w:rsidR="00FD41CC" w:rsidRPr="00906CFF">
              <w:rPr>
                <w:rFonts w:ascii="Times New Roman" w:hAnsi="Times New Roman"/>
                <w:sz w:val="28"/>
                <w:szCs w:val="28"/>
              </w:rPr>
              <w:t xml:space="preserve"> человек </w:t>
            </w:r>
            <w:r w:rsidR="00FD41CC" w:rsidRPr="00510C78">
              <w:rPr>
                <w:rFonts w:ascii="Times New Roman" w:hAnsi="Times New Roman"/>
                <w:sz w:val="28"/>
                <w:szCs w:val="28"/>
              </w:rPr>
              <w:t>(202</w:t>
            </w:r>
            <w:r w:rsidR="00510C78" w:rsidRPr="00510C78">
              <w:rPr>
                <w:rFonts w:ascii="Times New Roman" w:hAnsi="Times New Roman"/>
                <w:sz w:val="28"/>
                <w:szCs w:val="28"/>
              </w:rPr>
              <w:t>3</w:t>
            </w:r>
            <w:r w:rsidR="00FD41CC" w:rsidRPr="00510C7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10C78" w:rsidRPr="00510C78">
              <w:rPr>
                <w:rFonts w:ascii="Times New Roman" w:hAnsi="Times New Roman"/>
                <w:sz w:val="28"/>
                <w:szCs w:val="28"/>
              </w:rPr>
              <w:t>436</w:t>
            </w:r>
            <w:r w:rsidR="009673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0C78" w:rsidRPr="00510C78">
              <w:rPr>
                <w:rFonts w:ascii="Times New Roman" w:hAnsi="Times New Roman"/>
                <w:sz w:val="28"/>
                <w:szCs w:val="28"/>
              </w:rPr>
              <w:t>650</w:t>
            </w:r>
            <w:r w:rsidR="00FD41CC" w:rsidRPr="00510C78">
              <w:rPr>
                <w:rFonts w:ascii="Times New Roman" w:hAnsi="Times New Roman"/>
                <w:sz w:val="28"/>
                <w:szCs w:val="28"/>
              </w:rPr>
              <w:t xml:space="preserve"> чел.).</w:t>
            </w:r>
          </w:p>
          <w:p w:rsidR="00C20F26" w:rsidRPr="00036C55" w:rsidRDefault="00C20F26" w:rsidP="009673C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3C5">
              <w:rPr>
                <w:rFonts w:ascii="Times New Roman" w:hAnsi="Times New Roman"/>
                <w:sz w:val="28"/>
                <w:szCs w:val="28"/>
              </w:rPr>
              <w:t>Всего в 202</w:t>
            </w:r>
            <w:r w:rsidR="009673C5" w:rsidRPr="009673C5">
              <w:rPr>
                <w:rFonts w:ascii="Times New Roman" w:hAnsi="Times New Roman"/>
                <w:sz w:val="28"/>
                <w:szCs w:val="28"/>
              </w:rPr>
              <w:t>4</w:t>
            </w:r>
            <w:r w:rsidRPr="009673C5">
              <w:rPr>
                <w:rFonts w:ascii="Times New Roman" w:hAnsi="Times New Roman"/>
                <w:sz w:val="28"/>
                <w:szCs w:val="28"/>
              </w:rPr>
              <w:t xml:space="preserve"> г. было проведено </w:t>
            </w:r>
            <w:r w:rsidR="00FD41CC" w:rsidRPr="009673C5">
              <w:rPr>
                <w:rFonts w:ascii="Times New Roman" w:hAnsi="Times New Roman"/>
                <w:sz w:val="28"/>
                <w:szCs w:val="28"/>
              </w:rPr>
              <w:t>11</w:t>
            </w:r>
            <w:r w:rsidR="009673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73C5" w:rsidRPr="009673C5">
              <w:rPr>
                <w:rFonts w:ascii="Times New Roman" w:hAnsi="Times New Roman"/>
                <w:sz w:val="28"/>
                <w:szCs w:val="28"/>
              </w:rPr>
              <w:t>53</w:t>
            </w:r>
            <w:r w:rsidR="009673C5">
              <w:rPr>
                <w:rFonts w:ascii="Times New Roman" w:hAnsi="Times New Roman"/>
                <w:sz w:val="28"/>
                <w:szCs w:val="28"/>
              </w:rPr>
              <w:t>2</w:t>
            </w:r>
            <w:r w:rsidRPr="009673C5">
              <w:rPr>
                <w:rFonts w:ascii="Times New Roman" w:hAnsi="Times New Roman"/>
                <w:sz w:val="28"/>
                <w:szCs w:val="28"/>
              </w:rPr>
              <w:t xml:space="preserve"> культурно-массовых мероприятия (202</w:t>
            </w:r>
            <w:r w:rsidR="009673C5" w:rsidRPr="009673C5">
              <w:rPr>
                <w:rFonts w:ascii="Times New Roman" w:hAnsi="Times New Roman"/>
                <w:sz w:val="28"/>
                <w:szCs w:val="28"/>
              </w:rPr>
              <w:t>3</w:t>
            </w:r>
            <w:r w:rsidRPr="009673C5">
              <w:rPr>
                <w:rFonts w:ascii="Times New Roman" w:hAnsi="Times New Roman"/>
                <w:sz w:val="28"/>
                <w:szCs w:val="28"/>
              </w:rPr>
              <w:t xml:space="preserve"> г. - </w:t>
            </w:r>
            <w:r w:rsidR="00FD41CC" w:rsidRPr="009673C5">
              <w:rPr>
                <w:rFonts w:ascii="Times New Roman" w:hAnsi="Times New Roman"/>
                <w:sz w:val="28"/>
                <w:szCs w:val="28"/>
              </w:rPr>
              <w:t>11</w:t>
            </w:r>
            <w:r w:rsidR="009673C5" w:rsidRPr="009673C5">
              <w:rPr>
                <w:rFonts w:ascii="Times New Roman" w:hAnsi="Times New Roman"/>
                <w:sz w:val="28"/>
                <w:szCs w:val="28"/>
              </w:rPr>
              <w:t>242</w:t>
            </w:r>
            <w:r w:rsidR="001D4072" w:rsidRPr="009673C5">
              <w:rPr>
                <w:rFonts w:ascii="Times New Roman" w:hAnsi="Times New Roman"/>
                <w:sz w:val="28"/>
                <w:szCs w:val="28"/>
              </w:rPr>
              <w:t>)</w:t>
            </w:r>
            <w:r w:rsidRPr="009673C5">
              <w:rPr>
                <w:rFonts w:ascii="Times New Roman" w:hAnsi="Times New Roman"/>
                <w:sz w:val="28"/>
                <w:szCs w:val="28"/>
              </w:rPr>
              <w:t xml:space="preserve">, в сельской местности – </w:t>
            </w:r>
            <w:r w:rsidR="001D4072" w:rsidRPr="009673C5">
              <w:rPr>
                <w:rFonts w:ascii="Times New Roman" w:hAnsi="Times New Roman"/>
                <w:sz w:val="28"/>
                <w:szCs w:val="28"/>
              </w:rPr>
              <w:t>8</w:t>
            </w:r>
            <w:r w:rsidR="009673C5" w:rsidRPr="009673C5">
              <w:rPr>
                <w:rFonts w:ascii="Times New Roman" w:hAnsi="Times New Roman"/>
                <w:sz w:val="28"/>
                <w:szCs w:val="28"/>
              </w:rPr>
              <w:t>280</w:t>
            </w:r>
            <w:r w:rsidRPr="009673C5">
              <w:rPr>
                <w:rFonts w:ascii="Times New Roman" w:hAnsi="Times New Roman"/>
                <w:sz w:val="28"/>
                <w:szCs w:val="28"/>
              </w:rPr>
              <w:t xml:space="preserve"> мероприятий (202</w:t>
            </w:r>
            <w:r w:rsidR="009673C5" w:rsidRPr="009673C5">
              <w:rPr>
                <w:rFonts w:ascii="Times New Roman" w:hAnsi="Times New Roman"/>
                <w:sz w:val="28"/>
                <w:szCs w:val="28"/>
              </w:rPr>
              <w:t>3</w:t>
            </w:r>
            <w:r w:rsidRPr="009673C5">
              <w:rPr>
                <w:rFonts w:ascii="Times New Roman" w:hAnsi="Times New Roman"/>
                <w:sz w:val="28"/>
                <w:szCs w:val="28"/>
              </w:rPr>
              <w:t xml:space="preserve"> г. - </w:t>
            </w:r>
            <w:r w:rsidR="009673C5" w:rsidRPr="009673C5">
              <w:rPr>
                <w:rFonts w:ascii="Times New Roman" w:hAnsi="Times New Roman"/>
                <w:sz w:val="28"/>
                <w:szCs w:val="28"/>
              </w:rPr>
              <w:t>8001</w:t>
            </w:r>
            <w:r w:rsidR="001D4072" w:rsidRPr="009673C5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C20F26" w:rsidRPr="00064102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21071B">
              <w:rPr>
                <w:rFonts w:ascii="Times New Roman" w:hAnsi="Times New Roman"/>
                <w:sz w:val="28"/>
                <w:szCs w:val="28"/>
              </w:rPr>
              <w:t>Задача 2.5. Сокращение негативного воздействия на окружающую среду</w:t>
            </w:r>
          </w:p>
        </w:tc>
      </w:tr>
      <w:tr w:rsidR="00AE1F67" w:rsidRPr="001821FB" w:rsidTr="00C31A90">
        <w:trPr>
          <w:gridBefore w:val="1"/>
          <w:wBefore w:w="6" w:type="dxa"/>
        </w:trPr>
        <w:tc>
          <w:tcPr>
            <w:tcW w:w="9319" w:type="dxa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Темп роста текущих (эксплуатационных) затрат на охрану окружающей среды, включая оплату услуг природоохранного назначения, процентов к предыдущему году</w:t>
            </w:r>
          </w:p>
        </w:tc>
        <w:tc>
          <w:tcPr>
            <w:tcW w:w="4109" w:type="dxa"/>
          </w:tcPr>
          <w:p w:rsidR="00AE1F67" w:rsidRPr="00680EF0" w:rsidRDefault="00880B79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106,</w:t>
            </w:r>
            <w:r w:rsidR="00AE1F67" w:rsidRPr="00680EF0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AE1F67" w:rsidRPr="004D5EFE" w:rsidRDefault="00880B79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137,5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A55024" w:rsidRDefault="00C20F26" w:rsidP="00B77DBE">
            <w:pPr>
              <w:shd w:val="clear" w:color="auto" w:fill="FFFFFF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7846C3">
              <w:rPr>
                <w:rFonts w:ascii="Times New Roman" w:hAnsi="Times New Roman"/>
                <w:sz w:val="28"/>
                <w:szCs w:val="28"/>
              </w:rPr>
              <w:lastRenderedPageBreak/>
              <w:t>Плановое значение показателя Стратегии в 202</w:t>
            </w:r>
            <w:r w:rsidR="00DB34E4">
              <w:rPr>
                <w:rFonts w:ascii="Times New Roman" w:hAnsi="Times New Roman"/>
                <w:sz w:val="28"/>
                <w:szCs w:val="28"/>
              </w:rPr>
              <w:t>4</w:t>
            </w:r>
            <w:r w:rsidRPr="007846C3">
              <w:rPr>
                <w:rFonts w:ascii="Times New Roman" w:hAnsi="Times New Roman"/>
                <w:sz w:val="28"/>
                <w:szCs w:val="28"/>
              </w:rPr>
              <w:t xml:space="preserve"> году достигнуто, темп роста текущих (эксплуатационных) затрат на охрану окружающей среды, включая оплату услуг природоохранного назначения по оценке составил 10</w:t>
            </w:r>
            <w:r w:rsidR="00A55024">
              <w:rPr>
                <w:rFonts w:ascii="Times New Roman" w:hAnsi="Times New Roman"/>
                <w:sz w:val="28"/>
                <w:szCs w:val="28"/>
              </w:rPr>
              <w:t>0,2</w:t>
            </w:r>
            <w:r w:rsidRPr="007846C3">
              <w:rPr>
                <w:rFonts w:ascii="Times New Roman" w:hAnsi="Times New Roman"/>
                <w:sz w:val="28"/>
                <w:szCs w:val="28"/>
              </w:rPr>
              <w:t xml:space="preserve"> процентов к предыдущему году</w:t>
            </w:r>
            <w:r w:rsidR="00A5502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A55024" w:rsidRPr="00A55024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в рамках муниципальных контрактов и договоров на сбор, погрузку вывоза мусора на территории г. Ипатово, хуторов </w:t>
            </w:r>
            <w:proofErr w:type="spellStart"/>
            <w:r w:rsidR="00A55024" w:rsidRPr="00A55024">
              <w:rPr>
                <w:rFonts w:ascii="Times New Roman" w:hAnsi="Times New Roman"/>
                <w:sz w:val="28"/>
                <w:szCs w:val="28"/>
                <w:lang w:bidi="en-US"/>
              </w:rPr>
              <w:t>Бондаревский</w:t>
            </w:r>
            <w:proofErr w:type="spellEnd"/>
            <w:r w:rsidR="00A55024" w:rsidRPr="00A55024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, </w:t>
            </w:r>
            <w:proofErr w:type="spellStart"/>
            <w:r w:rsidR="00A55024" w:rsidRPr="00A55024">
              <w:rPr>
                <w:rFonts w:ascii="Times New Roman" w:hAnsi="Times New Roman"/>
                <w:sz w:val="28"/>
                <w:szCs w:val="28"/>
                <w:lang w:bidi="en-US"/>
              </w:rPr>
              <w:t>Кочержинский</w:t>
            </w:r>
            <w:proofErr w:type="spellEnd"/>
            <w:r w:rsidR="00A55024" w:rsidRPr="00A55024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, Водный </w:t>
            </w:r>
            <w:r w:rsidR="00A55024" w:rsidRPr="00880B79">
              <w:rPr>
                <w:rFonts w:ascii="Times New Roman" w:hAnsi="Times New Roman"/>
                <w:sz w:val="28"/>
                <w:szCs w:val="28"/>
                <w:lang w:bidi="en-US"/>
              </w:rPr>
              <w:t>освоено</w:t>
            </w:r>
            <w:r w:rsidR="00880B79" w:rsidRPr="00880B79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4218,13 тысяч рублей,</w:t>
            </w:r>
            <w:r w:rsidR="00A55024" w:rsidRPr="00880B79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</w:t>
            </w:r>
            <w:r w:rsidR="00A55024" w:rsidRPr="00A55024">
              <w:rPr>
                <w:rFonts w:ascii="Times New Roman" w:hAnsi="Times New Roman"/>
                <w:sz w:val="28"/>
                <w:szCs w:val="28"/>
                <w:lang w:bidi="en-US"/>
              </w:rPr>
              <w:t>3067,27 тысяч рублей, выполнены работы по сбору и вывозу мусора в объеме 3598 м</w:t>
            </w:r>
            <w:r w:rsidR="00A55024" w:rsidRPr="00A55024">
              <w:rPr>
                <w:rFonts w:ascii="Times New Roman" w:hAnsi="Times New Roman"/>
                <w:sz w:val="28"/>
                <w:szCs w:val="28"/>
                <w:vertAlign w:val="superscript"/>
                <w:lang w:bidi="en-US"/>
              </w:rPr>
              <w:t>3</w:t>
            </w:r>
            <w:r w:rsidR="00A55024" w:rsidRPr="00A55024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(в 2023 году - 3590 м</w:t>
            </w:r>
            <w:r w:rsidR="00A55024" w:rsidRPr="00A55024">
              <w:rPr>
                <w:rFonts w:ascii="Times New Roman" w:hAnsi="Times New Roman"/>
                <w:sz w:val="28"/>
                <w:szCs w:val="28"/>
                <w:vertAlign w:val="superscript"/>
                <w:lang w:bidi="en-US"/>
              </w:rPr>
              <w:t>3</w:t>
            </w:r>
            <w:r w:rsidR="00A55024" w:rsidRPr="00A55024">
              <w:rPr>
                <w:rFonts w:ascii="Times New Roman" w:hAnsi="Times New Roman"/>
                <w:sz w:val="28"/>
                <w:szCs w:val="28"/>
                <w:lang w:bidi="en-US"/>
              </w:rPr>
              <w:t>).</w:t>
            </w:r>
          </w:p>
          <w:p w:rsidR="00ED23A0" w:rsidRPr="00ED23A0" w:rsidRDefault="00ED23A0" w:rsidP="00B77DBE">
            <w:pPr>
              <w:shd w:val="clear" w:color="auto" w:fill="FFFFFF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ED23A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Выполнены работы на сумму 65,47 тыс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яч</w:t>
            </w:r>
            <w:r w:rsidRPr="00ED23A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лей</w:t>
            </w:r>
            <w:r w:rsidRPr="00ED23A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по обустройству контейнерной площадки по ул. Циолковского. Контрактом </w:t>
            </w:r>
            <w:r w:rsidRPr="00ED23A0">
              <w:rPr>
                <w:rFonts w:ascii="Times New Roman" w:eastAsia="Calibri" w:hAnsi="Times New Roman"/>
                <w:sz w:val="28"/>
                <w:szCs w:val="28"/>
              </w:rPr>
              <w:t xml:space="preserve">на поставку произведенных учреждением уголовно-исполнительной системы товаров (контейнеров металлических, металлических бункеров) </w:t>
            </w:r>
            <w:r w:rsidRPr="00ED23A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закуплены 4 контейнера и один бункер 8</w:t>
            </w:r>
            <w:r w:rsidRPr="00A55024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м</w:t>
            </w:r>
            <w:r w:rsidRPr="00A55024">
              <w:rPr>
                <w:rFonts w:ascii="Times New Roman" w:hAnsi="Times New Roman"/>
                <w:sz w:val="28"/>
                <w:szCs w:val="28"/>
                <w:vertAlign w:val="superscript"/>
                <w:lang w:bidi="en-US"/>
              </w:rPr>
              <w:t>3</w:t>
            </w:r>
            <w:r w:rsidRPr="00ED23A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для мусора на сумму 238,80 тыс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яч</w:t>
            </w:r>
            <w:r w:rsidRPr="00ED23A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лей</w:t>
            </w:r>
            <w:r w:rsidRPr="00ED23A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  <w:p w:rsidR="00B77DBE" w:rsidRPr="00880B79" w:rsidRDefault="00B77DBE" w:rsidP="00B77DBE">
            <w:pPr>
              <w:shd w:val="clear" w:color="auto" w:fill="FFFFFF"/>
              <w:spacing w:after="0" w:line="240" w:lineRule="exact"/>
              <w:jc w:val="both"/>
              <w:rPr>
                <w:rFonts w:cs="Calibri"/>
                <w:color w:val="1A1A1A"/>
              </w:rPr>
            </w:pPr>
            <w:r w:rsidRPr="00880B79">
              <w:rPr>
                <w:rFonts w:ascii="Times New Roman" w:hAnsi="Times New Roman"/>
                <w:color w:val="1A1A1A"/>
                <w:sz w:val="28"/>
                <w:szCs w:val="28"/>
              </w:rPr>
              <w:t>В соответствии с пунктом 1 статьи 246 Федерального закона от 24 июня 1998 года № 89-ФЗ «Об отходах производства и потребления» сбор, транспортирование, обработка, утилизация, обезвреживание, захоронение твердых коммунальных отходов на территории субъекта Российской Федерации обеспечиваются одним или несколькими региональными операторами.</w:t>
            </w:r>
          </w:p>
          <w:p w:rsidR="007846C3" w:rsidRPr="00880B79" w:rsidRDefault="00B77DBE" w:rsidP="00880B79">
            <w:pPr>
              <w:shd w:val="clear" w:color="auto" w:fill="FFFFFF"/>
              <w:spacing w:after="0" w:line="240" w:lineRule="exact"/>
              <w:jc w:val="both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 w:rsidRPr="00A55024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Деятельностью по транспортированию твердых коммунальных отходов на территории Ипатовского муниципального осуществляется тремя организациями (МУП «ЖКХ» Ипатовского района, ИП </w:t>
            </w:r>
            <w:proofErr w:type="spellStart"/>
            <w:r w:rsidRPr="00A55024">
              <w:rPr>
                <w:rFonts w:ascii="Times New Roman" w:hAnsi="Times New Roman"/>
                <w:color w:val="1A1A1A"/>
                <w:sz w:val="28"/>
                <w:szCs w:val="28"/>
              </w:rPr>
              <w:t>Чукунова</w:t>
            </w:r>
            <w:proofErr w:type="spellEnd"/>
            <w:r w:rsidRPr="00A55024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Е.А. и региональным оператором ООО «Эко- Сити»).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Цель 2. «Устойчивое развитие и модернизация экономики, развитие инноваций»: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3. Создание высокопроизводительной экономики, конкурентной на краевом и российском уровне, обеспечивающей стабильное развитие округа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3.1. Содействие в реализации концепции бережливого производства на территории Ипатовского округа.</w:t>
            </w:r>
          </w:p>
        </w:tc>
      </w:tr>
      <w:tr w:rsidR="00AE1F67" w:rsidRPr="001821FB" w:rsidTr="00516AAA">
        <w:trPr>
          <w:gridBefore w:val="1"/>
          <w:wBefore w:w="6" w:type="dxa"/>
        </w:trPr>
        <w:tc>
          <w:tcPr>
            <w:tcW w:w="9319" w:type="dxa"/>
          </w:tcPr>
          <w:p w:rsidR="00AE1F67" w:rsidRPr="007634F7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34F7">
              <w:rPr>
                <w:rFonts w:ascii="Times New Roman" w:hAnsi="Times New Roman"/>
                <w:sz w:val="28"/>
                <w:szCs w:val="28"/>
              </w:rPr>
              <w:t>Рост оборота по видам экономической деятельности, процентов к предыдущему году</w:t>
            </w:r>
          </w:p>
        </w:tc>
        <w:tc>
          <w:tcPr>
            <w:tcW w:w="4109" w:type="dxa"/>
          </w:tcPr>
          <w:p w:rsidR="00AE1F67" w:rsidRPr="007634F7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34F7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634F7">
              <w:rPr>
                <w:rFonts w:ascii="Times New Roman" w:hAnsi="Times New Roman"/>
                <w:sz w:val="28"/>
                <w:szCs w:val="28"/>
              </w:rPr>
              <w:t xml:space="preserve">,0 </w:t>
            </w:r>
          </w:p>
          <w:p w:rsidR="00AE1F67" w:rsidRPr="007634F7" w:rsidRDefault="00AE1F67" w:rsidP="00680EF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shd w:val="clear" w:color="auto" w:fill="auto"/>
          </w:tcPr>
          <w:p w:rsidR="00AE1F67" w:rsidRPr="00333CED" w:rsidRDefault="00333CED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CED">
              <w:rPr>
                <w:rFonts w:ascii="Times New Roman" w:hAnsi="Times New Roman"/>
                <w:sz w:val="28"/>
                <w:szCs w:val="28"/>
              </w:rPr>
              <w:t>121,5</w:t>
            </w:r>
          </w:p>
          <w:p w:rsidR="00AE1F67" w:rsidRPr="007634F7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  <w:vAlign w:val="center"/>
          </w:tcPr>
          <w:p w:rsidR="00333CED" w:rsidRPr="0034784E" w:rsidRDefault="00C20F26" w:rsidP="00333CE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CED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553FC7" w:rsidRPr="00333CED">
              <w:rPr>
                <w:rFonts w:ascii="Times New Roman" w:hAnsi="Times New Roman"/>
                <w:sz w:val="28"/>
                <w:szCs w:val="28"/>
              </w:rPr>
              <w:t>4</w:t>
            </w:r>
            <w:r w:rsidRPr="00333CED">
              <w:rPr>
                <w:rFonts w:ascii="Times New Roman" w:hAnsi="Times New Roman"/>
                <w:sz w:val="28"/>
                <w:szCs w:val="28"/>
              </w:rPr>
              <w:t xml:space="preserve"> году достигнуто, оборот по видам экономической деятельности составил </w:t>
            </w:r>
            <w:r w:rsidR="00333CED" w:rsidRPr="00333CED">
              <w:rPr>
                <w:rFonts w:ascii="Times New Roman" w:hAnsi="Times New Roman"/>
                <w:sz w:val="28"/>
                <w:szCs w:val="28"/>
              </w:rPr>
              <w:t xml:space="preserve">          19 838,7</w:t>
            </w:r>
            <w:r w:rsidR="007634F7" w:rsidRPr="00333CED">
              <w:rPr>
                <w:rFonts w:ascii="Times New Roman" w:hAnsi="Times New Roman"/>
                <w:sz w:val="28"/>
                <w:szCs w:val="28"/>
              </w:rPr>
              <w:t xml:space="preserve"> миллионов рублей или </w:t>
            </w:r>
            <w:r w:rsidR="00333CED" w:rsidRPr="00333CED">
              <w:rPr>
                <w:rFonts w:ascii="Times New Roman" w:hAnsi="Times New Roman"/>
                <w:sz w:val="28"/>
                <w:szCs w:val="28"/>
              </w:rPr>
              <w:t>121,5</w:t>
            </w:r>
            <w:r w:rsidRPr="00333CED">
              <w:rPr>
                <w:rFonts w:ascii="Times New Roman" w:hAnsi="Times New Roman"/>
                <w:sz w:val="28"/>
                <w:szCs w:val="28"/>
              </w:rPr>
              <w:t xml:space="preserve"> процентов к уровню 202</w:t>
            </w:r>
            <w:r w:rsidR="00553FC7" w:rsidRPr="00333CED">
              <w:rPr>
                <w:rFonts w:ascii="Times New Roman" w:hAnsi="Times New Roman"/>
                <w:sz w:val="28"/>
                <w:szCs w:val="28"/>
              </w:rPr>
              <w:t>3</w:t>
            </w:r>
            <w:r w:rsidRPr="00333CED">
              <w:rPr>
                <w:rFonts w:ascii="Times New Roman" w:hAnsi="Times New Roman"/>
                <w:sz w:val="28"/>
                <w:szCs w:val="28"/>
              </w:rPr>
              <w:t xml:space="preserve"> года (202</w:t>
            </w:r>
            <w:r w:rsidR="00553FC7" w:rsidRPr="00333CED">
              <w:rPr>
                <w:rFonts w:ascii="Times New Roman" w:hAnsi="Times New Roman"/>
                <w:sz w:val="28"/>
                <w:szCs w:val="28"/>
              </w:rPr>
              <w:t>3</w:t>
            </w:r>
            <w:r w:rsidRPr="00333CE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022B8" w:rsidRPr="00333CED">
              <w:rPr>
                <w:rFonts w:ascii="Times New Roman" w:hAnsi="Times New Roman"/>
                <w:sz w:val="28"/>
                <w:szCs w:val="28"/>
              </w:rPr>
              <w:t>16</w:t>
            </w:r>
            <w:r w:rsidR="00333CED" w:rsidRPr="00333CED">
              <w:rPr>
                <w:rFonts w:ascii="Times New Roman" w:hAnsi="Times New Roman"/>
                <w:sz w:val="28"/>
                <w:szCs w:val="28"/>
              </w:rPr>
              <w:t xml:space="preserve">331,5 </w:t>
            </w:r>
            <w:r w:rsidRPr="00333CED">
              <w:rPr>
                <w:rFonts w:ascii="Times New Roman" w:hAnsi="Times New Roman"/>
                <w:sz w:val="28"/>
                <w:szCs w:val="28"/>
              </w:rPr>
              <w:t xml:space="preserve">миллионов рублей). </w:t>
            </w:r>
          </w:p>
        </w:tc>
      </w:tr>
      <w:tr w:rsidR="00AE1F67" w:rsidRPr="001821FB" w:rsidTr="00B003E7">
        <w:trPr>
          <w:gridBefore w:val="1"/>
          <w:wBefore w:w="6" w:type="dxa"/>
        </w:trPr>
        <w:tc>
          <w:tcPr>
            <w:tcW w:w="9319" w:type="dxa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 xml:space="preserve">Количество средних и крупных предприятий базовых </w:t>
            </w:r>
            <w:proofErr w:type="spellStart"/>
            <w:r w:rsidRPr="001821FB">
              <w:rPr>
                <w:rFonts w:ascii="Times New Roman" w:hAnsi="Times New Roman"/>
                <w:sz w:val="28"/>
                <w:szCs w:val="28"/>
              </w:rPr>
              <w:t>несырьевых</w:t>
            </w:r>
            <w:proofErr w:type="spellEnd"/>
            <w:r w:rsidRPr="001821FB">
              <w:rPr>
                <w:rFonts w:ascii="Times New Roman" w:hAnsi="Times New Roman"/>
                <w:sz w:val="28"/>
                <w:szCs w:val="28"/>
              </w:rPr>
              <w:t xml:space="preserve"> отраслей экономики, вовлеченных в реализацию национального проекта, не менее, единиц</w:t>
            </w:r>
          </w:p>
        </w:tc>
        <w:tc>
          <w:tcPr>
            <w:tcW w:w="4109" w:type="dxa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AE1F67" w:rsidRPr="00AF6AAA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  <w:highlight w:val="yellow"/>
              </w:rPr>
            </w:pPr>
            <w:r w:rsidRPr="00AF6AAA">
              <w:rPr>
                <w:rFonts w:ascii="Times New Roman" w:hAnsi="Times New Roman"/>
                <w:color w:val="FF0000"/>
                <w:sz w:val="28"/>
                <w:szCs w:val="28"/>
              </w:rPr>
              <w:t>3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80439F" w:rsidRPr="0080439F" w:rsidRDefault="00C20F26" w:rsidP="008043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60E8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AF6AAA">
              <w:rPr>
                <w:rFonts w:ascii="Times New Roman" w:hAnsi="Times New Roman"/>
                <w:sz w:val="28"/>
                <w:szCs w:val="28"/>
              </w:rPr>
              <w:t>4</w:t>
            </w:r>
            <w:r w:rsidRPr="00F460E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AF6AAA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F460E8">
              <w:rPr>
                <w:rFonts w:ascii="Times New Roman" w:hAnsi="Times New Roman"/>
                <w:sz w:val="28"/>
                <w:szCs w:val="28"/>
              </w:rPr>
              <w:t>достигнуто, по итогам 2019-202</w:t>
            </w:r>
            <w:r w:rsidR="00AF6AAA">
              <w:rPr>
                <w:rFonts w:ascii="Times New Roman" w:hAnsi="Times New Roman"/>
                <w:sz w:val="28"/>
                <w:szCs w:val="28"/>
              </w:rPr>
              <w:t>4</w:t>
            </w:r>
            <w:r w:rsidRPr="00F460E8">
              <w:rPr>
                <w:rFonts w:ascii="Times New Roman" w:hAnsi="Times New Roman"/>
                <w:sz w:val="28"/>
                <w:szCs w:val="28"/>
              </w:rPr>
              <w:t xml:space="preserve"> годов количество средних и крупных предприятий базовых </w:t>
            </w:r>
            <w:proofErr w:type="spellStart"/>
            <w:r w:rsidRPr="00F460E8">
              <w:rPr>
                <w:rFonts w:ascii="Times New Roman" w:hAnsi="Times New Roman"/>
                <w:sz w:val="28"/>
                <w:szCs w:val="28"/>
              </w:rPr>
              <w:t>несырьевых</w:t>
            </w:r>
            <w:proofErr w:type="spellEnd"/>
            <w:r w:rsidRPr="00F460E8">
              <w:rPr>
                <w:rFonts w:ascii="Times New Roman" w:hAnsi="Times New Roman"/>
                <w:sz w:val="28"/>
                <w:szCs w:val="28"/>
              </w:rPr>
              <w:t xml:space="preserve"> отраслей экономики, вовлеченных в реализацию национального проекта, не менее» </w:t>
            </w:r>
            <w:r w:rsidRPr="0080439F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D91903" w:rsidRPr="0080439F">
              <w:rPr>
                <w:rFonts w:ascii="Times New Roman" w:hAnsi="Times New Roman"/>
                <w:sz w:val="28"/>
                <w:szCs w:val="28"/>
              </w:rPr>
              <w:t>3</w:t>
            </w:r>
            <w:r w:rsidR="0080439F" w:rsidRPr="0080439F">
              <w:rPr>
                <w:rFonts w:ascii="Times New Roman" w:hAnsi="Times New Roman"/>
                <w:sz w:val="28"/>
                <w:szCs w:val="28"/>
              </w:rPr>
              <w:t xml:space="preserve"> единицы.</w:t>
            </w:r>
          </w:p>
          <w:p w:rsidR="0080439F" w:rsidRDefault="0080439F" w:rsidP="008043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439F">
              <w:rPr>
                <w:rFonts w:ascii="Times New Roman" w:hAnsi="Times New Roman"/>
                <w:sz w:val="28"/>
                <w:szCs w:val="28"/>
              </w:rPr>
              <w:t>В соответствии с Указом Президента РФ от 07 мая 2018 года № 204 «О национальных целях и стратегических задачах развития  Российской Федерации на период 2024 года», в целях реализации национального проекта «Производительность труда» (далее - национальный проект «Производительность труда») на территории Ипатовского муниципального округа проведен отбор предприятий, осуществляющих свою деятельность на территории округа, соответствующих критериям отбора для участия в национальном проекте, куда вошло 8 предприятий.</w:t>
            </w:r>
          </w:p>
          <w:p w:rsidR="0080439F" w:rsidRPr="0080439F" w:rsidRDefault="0080439F" w:rsidP="008043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439F">
              <w:rPr>
                <w:rFonts w:ascii="Times New Roman" w:hAnsi="Times New Roman"/>
                <w:sz w:val="28"/>
                <w:szCs w:val="28"/>
              </w:rPr>
              <w:t xml:space="preserve">В целях информирования и вовлечения хозяйствующих субъектов, осуществляющих свою деятельность на территории округа в </w:t>
            </w:r>
            <w:r w:rsidRPr="0080439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реализуемый национальный проект, администрацией округа регулярно направляются письма руководителям предприятий округа, соответствующих критериям отбора с приложением информационных материалов, содержащих критерии отбора, а также информацию о преимуществах участия в национальном проекте. </w:t>
            </w:r>
          </w:p>
          <w:p w:rsidR="0080439F" w:rsidRDefault="0080439F" w:rsidP="008043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439F">
              <w:rPr>
                <w:rFonts w:ascii="Times New Roman" w:hAnsi="Times New Roman"/>
                <w:sz w:val="28"/>
                <w:szCs w:val="28"/>
              </w:rPr>
              <w:t xml:space="preserve">На официальном сайте администрации Ипатовского муниципального округа Ставропольского края в информационно- телекоммуникационной сети «Интернет» создан подраздел «Производительность труда», где размещается вся актуальная информация по реализации национального проекта (ссылка: https://ipatovo26.gosuslugi.ru/deyatelnost/napravleniya-deyatelnosti/biznespredprinimatelstvo/proizvoditelnost-truda/). </w:t>
            </w:r>
          </w:p>
          <w:p w:rsidR="0080439F" w:rsidRPr="0080439F" w:rsidRDefault="0080439F" w:rsidP="008043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439F">
              <w:rPr>
                <w:rFonts w:ascii="Times New Roman" w:hAnsi="Times New Roman"/>
                <w:sz w:val="28"/>
                <w:szCs w:val="28"/>
              </w:rPr>
              <w:t xml:space="preserve">В отчетном году вопрос привлечения предприятий Ипатовского округа к участию в национальном проекте «Производительность труда» был рассмотрен на заседании комиссии по социально - экономическому развитию Ипатовского округа, с приглашением руководителей предприятий, соответствующих критериям отбора для участия в национальном проекте (Протокол от 26 июня 2024г. № 1). </w:t>
            </w:r>
          </w:p>
          <w:p w:rsidR="0080439F" w:rsidRPr="0080439F" w:rsidRDefault="0080439F" w:rsidP="0080439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439F">
              <w:rPr>
                <w:rFonts w:ascii="Times New Roman" w:hAnsi="Times New Roman"/>
                <w:sz w:val="28"/>
                <w:szCs w:val="28"/>
              </w:rPr>
              <w:t xml:space="preserve">Кроме того, в общественно-политической газете Ипатовского муниципального округа «Степные зори» от 21 июня 2024 года № 43 (11680) опубликована статья «Нацпроект. Труду - производительность». </w:t>
            </w:r>
          </w:p>
          <w:p w:rsidR="00C20F26" w:rsidRPr="001821FB" w:rsidRDefault="00C20F26" w:rsidP="00F460E8">
            <w:pPr>
              <w:spacing w:after="0" w:line="240" w:lineRule="exact"/>
              <w:jc w:val="both"/>
            </w:pPr>
            <w:r w:rsidRPr="00F460E8">
              <w:rPr>
                <w:rFonts w:ascii="Times New Roman" w:hAnsi="Times New Roman"/>
                <w:sz w:val="28"/>
                <w:szCs w:val="28"/>
              </w:rPr>
              <w:t>Администрацией Ипатовского округа Ставропольского края ежегодно проводится отбор предприятий, осуществляющих свою деятельность на территории Ипатовского округа, соответствующих критериям отбора для участия в региональном проекте «Производительности труда» (далее - национальный проект), по итогам проведенной работы ОАО «Сыродел»</w:t>
            </w:r>
            <w:r w:rsidR="00BE60C2" w:rsidRPr="00F460E8">
              <w:rPr>
                <w:rFonts w:ascii="Times New Roman" w:hAnsi="Times New Roman"/>
                <w:sz w:val="28"/>
                <w:szCs w:val="28"/>
              </w:rPr>
              <w:t>,</w:t>
            </w:r>
            <w:r w:rsidRPr="00F460E8">
              <w:rPr>
                <w:rFonts w:ascii="Times New Roman" w:hAnsi="Times New Roman"/>
                <w:sz w:val="28"/>
                <w:szCs w:val="28"/>
              </w:rPr>
              <w:t xml:space="preserve"> ООО «Добровольное» </w:t>
            </w:r>
            <w:r w:rsidR="00BE60C2" w:rsidRPr="00F460E8">
              <w:rPr>
                <w:rFonts w:ascii="Times New Roman" w:hAnsi="Times New Roman"/>
                <w:sz w:val="28"/>
                <w:szCs w:val="28"/>
              </w:rPr>
              <w:t>и ООО «Сельскохозяйственное предприятие «</w:t>
            </w:r>
            <w:proofErr w:type="spellStart"/>
            <w:r w:rsidR="00BE60C2" w:rsidRPr="00F460E8">
              <w:rPr>
                <w:rFonts w:ascii="Times New Roman" w:hAnsi="Times New Roman"/>
                <w:sz w:val="28"/>
                <w:szCs w:val="28"/>
              </w:rPr>
              <w:t>Агроинвест</w:t>
            </w:r>
            <w:proofErr w:type="spellEnd"/>
            <w:r w:rsidR="00BE60C2" w:rsidRPr="00F460E8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F460E8">
              <w:rPr>
                <w:rFonts w:ascii="Times New Roman" w:hAnsi="Times New Roman"/>
                <w:sz w:val="28"/>
                <w:szCs w:val="28"/>
              </w:rPr>
              <w:t>вступили в национальный проект «Производительность труда».</w:t>
            </w:r>
          </w:p>
        </w:tc>
      </w:tr>
      <w:tr w:rsidR="00AE1F67" w:rsidRPr="001821FB" w:rsidTr="004E37D8">
        <w:trPr>
          <w:gridBefore w:val="1"/>
          <w:wBefore w:w="6" w:type="dxa"/>
          <w:trHeight w:val="433"/>
        </w:trPr>
        <w:tc>
          <w:tcPr>
            <w:tcW w:w="9319" w:type="dxa"/>
          </w:tcPr>
          <w:p w:rsidR="00AE1F67" w:rsidRPr="00680EF0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Количество </w:t>
            </w:r>
            <w:proofErr w:type="spellStart"/>
            <w:r w:rsidRPr="00680EF0">
              <w:rPr>
                <w:rFonts w:ascii="Times New Roman" w:hAnsi="Times New Roman"/>
                <w:sz w:val="28"/>
                <w:szCs w:val="28"/>
              </w:rPr>
              <w:t>высокопроизводимых</w:t>
            </w:r>
            <w:proofErr w:type="spellEnd"/>
            <w:r w:rsidRPr="00680EF0">
              <w:rPr>
                <w:rFonts w:ascii="Times New Roman" w:hAnsi="Times New Roman"/>
                <w:sz w:val="28"/>
                <w:szCs w:val="28"/>
              </w:rPr>
              <w:t xml:space="preserve"> рабочих мест во внебюджетном секторе экономики, человек</w:t>
            </w:r>
          </w:p>
        </w:tc>
        <w:tc>
          <w:tcPr>
            <w:tcW w:w="4109" w:type="dxa"/>
          </w:tcPr>
          <w:p w:rsidR="00AE1F67" w:rsidRPr="00680EF0" w:rsidRDefault="00AE1F67" w:rsidP="009B0E6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5</w:t>
            </w:r>
            <w:r w:rsidR="009B0E62">
              <w:rPr>
                <w:rFonts w:ascii="Times New Roman" w:hAnsi="Times New Roman"/>
                <w:sz w:val="28"/>
                <w:szCs w:val="28"/>
              </w:rPr>
              <w:t>759</w:t>
            </w:r>
          </w:p>
        </w:tc>
        <w:tc>
          <w:tcPr>
            <w:tcW w:w="2267" w:type="dxa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759</w:t>
            </w:r>
          </w:p>
          <w:p w:rsidR="00AE1F67" w:rsidRPr="004D5EFE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C20F26" w:rsidRPr="00680EF0" w:rsidRDefault="00C20F26" w:rsidP="00680EF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AF6AAA">
              <w:rPr>
                <w:rFonts w:ascii="Times New Roman" w:hAnsi="Times New Roman"/>
                <w:sz w:val="28"/>
                <w:szCs w:val="28"/>
              </w:rPr>
              <w:t>4</w:t>
            </w:r>
            <w:r w:rsidRPr="00680EF0">
              <w:rPr>
                <w:rFonts w:ascii="Times New Roman" w:hAnsi="Times New Roman"/>
                <w:sz w:val="28"/>
                <w:szCs w:val="28"/>
              </w:rPr>
              <w:t xml:space="preserve"> году достигнуто, оценочно, по итогам отчетного года, количество </w:t>
            </w:r>
            <w:proofErr w:type="spellStart"/>
            <w:r w:rsidRPr="00680EF0">
              <w:rPr>
                <w:rFonts w:ascii="Times New Roman" w:hAnsi="Times New Roman"/>
                <w:sz w:val="28"/>
                <w:szCs w:val="28"/>
              </w:rPr>
              <w:t>высокопроизводимых</w:t>
            </w:r>
            <w:proofErr w:type="spellEnd"/>
            <w:r w:rsidRPr="00680EF0">
              <w:rPr>
                <w:rFonts w:ascii="Times New Roman" w:hAnsi="Times New Roman"/>
                <w:sz w:val="28"/>
                <w:szCs w:val="28"/>
              </w:rPr>
              <w:t xml:space="preserve"> рабочих мест во внебюджетном секторе экономики составило </w:t>
            </w:r>
            <w:r w:rsidR="00AF6AAA">
              <w:rPr>
                <w:rFonts w:ascii="Times New Roman" w:hAnsi="Times New Roman"/>
                <w:sz w:val="28"/>
                <w:szCs w:val="28"/>
              </w:rPr>
              <w:t>5759</w:t>
            </w:r>
            <w:r w:rsidRPr="00680EF0">
              <w:rPr>
                <w:rFonts w:ascii="Times New Roman" w:hAnsi="Times New Roman"/>
                <w:sz w:val="28"/>
                <w:szCs w:val="28"/>
              </w:rPr>
              <w:t xml:space="preserve"> человек. </w:t>
            </w:r>
          </w:p>
        </w:tc>
      </w:tr>
      <w:tr w:rsidR="00C20F26" w:rsidRPr="001821FB" w:rsidTr="00ED7080">
        <w:trPr>
          <w:gridBefore w:val="1"/>
          <w:wBefore w:w="6" w:type="dxa"/>
          <w:trHeight w:val="346"/>
        </w:trPr>
        <w:tc>
          <w:tcPr>
            <w:tcW w:w="15695" w:type="dxa"/>
            <w:gridSpan w:val="3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3.2. Сохранение лидерских позиций в сельском хозяйстве</w:t>
            </w:r>
          </w:p>
        </w:tc>
      </w:tr>
      <w:tr w:rsidR="00AE1F67" w:rsidRPr="001821FB" w:rsidTr="00914F81">
        <w:trPr>
          <w:gridBefore w:val="1"/>
          <w:wBefore w:w="6" w:type="dxa"/>
        </w:trPr>
        <w:tc>
          <w:tcPr>
            <w:tcW w:w="9319" w:type="dxa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Индекс оборота продукции сельского хозяйства, процентов к предыдущему году</w:t>
            </w:r>
          </w:p>
        </w:tc>
        <w:tc>
          <w:tcPr>
            <w:tcW w:w="4109" w:type="dxa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680EF0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AE1F67" w:rsidRPr="00AD3BA6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CA5D54">
              <w:rPr>
                <w:rFonts w:ascii="Times New Roman" w:hAnsi="Times New Roman"/>
                <w:sz w:val="28"/>
                <w:szCs w:val="28"/>
              </w:rPr>
              <w:t>2</w:t>
            </w:r>
            <w:r w:rsidRPr="00AD3BA6">
              <w:rPr>
                <w:rFonts w:ascii="Times New Roman" w:hAnsi="Times New Roman"/>
                <w:sz w:val="28"/>
                <w:szCs w:val="28"/>
              </w:rPr>
              <w:t xml:space="preserve">,0 </w:t>
            </w:r>
          </w:p>
          <w:p w:rsidR="00AE1F67" w:rsidRPr="004D5EFE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D3BA6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C20F26" w:rsidRPr="00935AD1" w:rsidRDefault="00C20F26" w:rsidP="001F04F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0011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AF6AAA">
              <w:rPr>
                <w:rFonts w:ascii="Times New Roman" w:hAnsi="Times New Roman"/>
                <w:sz w:val="28"/>
                <w:szCs w:val="28"/>
              </w:rPr>
              <w:t>4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 xml:space="preserve"> году достигнуто, оценочно, по итогам отчетного года, индекс оборота продукции сельского хозяйства, процентов к предыдущему году сложился </w:t>
            </w:r>
            <w:r w:rsidR="00B86D9D">
              <w:rPr>
                <w:rFonts w:ascii="Times New Roman" w:hAnsi="Times New Roman"/>
                <w:sz w:val="28"/>
                <w:szCs w:val="28"/>
              </w:rPr>
              <w:t>112,0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  <w:r w:rsidR="00B86D9D">
              <w:rPr>
                <w:rFonts w:ascii="Times New Roman" w:hAnsi="Times New Roman"/>
                <w:sz w:val="28"/>
                <w:szCs w:val="28"/>
              </w:rPr>
              <w:t>ов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6D9D">
              <w:rPr>
                <w:rFonts w:ascii="Times New Roman" w:hAnsi="Times New Roman"/>
                <w:sz w:val="28"/>
                <w:szCs w:val="28"/>
              </w:rPr>
              <w:t>к уровню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AF6AAA">
              <w:rPr>
                <w:rFonts w:ascii="Times New Roman" w:hAnsi="Times New Roman"/>
                <w:sz w:val="28"/>
                <w:szCs w:val="28"/>
              </w:rPr>
              <w:t>3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5D54">
              <w:rPr>
                <w:rFonts w:ascii="Times New Roman" w:hAnsi="Times New Roman"/>
                <w:sz w:val="28"/>
                <w:szCs w:val="28"/>
              </w:rPr>
              <w:t>года</w:t>
            </w:r>
            <w:r w:rsidR="00935AD1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35AD1" w:rsidRPr="00935AD1">
              <w:rPr>
                <w:rFonts w:ascii="Times New Roman" w:hAnsi="Times New Roman"/>
                <w:sz w:val="28"/>
                <w:szCs w:val="28"/>
              </w:rPr>
              <w:t xml:space="preserve">Объем отгруженных товаров собственного производства, выполненных работ и услуг крупными и средними </w:t>
            </w:r>
            <w:proofErr w:type="gramStart"/>
            <w:r w:rsidR="00935AD1" w:rsidRPr="00935AD1">
              <w:rPr>
                <w:rFonts w:ascii="Times New Roman" w:hAnsi="Times New Roman"/>
                <w:sz w:val="28"/>
                <w:szCs w:val="28"/>
              </w:rPr>
              <w:t>сельскохозяйственными  предприятиями</w:t>
            </w:r>
            <w:proofErr w:type="gramEnd"/>
            <w:r w:rsidR="00935AD1" w:rsidRPr="00935A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5AD1">
              <w:rPr>
                <w:rFonts w:ascii="Times New Roman" w:hAnsi="Times New Roman"/>
                <w:sz w:val="28"/>
                <w:szCs w:val="28"/>
              </w:rPr>
              <w:t>округа по итогам 2024 года составил 10 058,3 миллионов рублей, или 125,5 процентов к уровню 2023 года (8017,0 миллионов рублей).</w:t>
            </w:r>
          </w:p>
          <w:p w:rsidR="003601DB" w:rsidRPr="005B5D96" w:rsidRDefault="003601DB" w:rsidP="003601D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5D96">
              <w:rPr>
                <w:rFonts w:ascii="Times New Roman" w:hAnsi="Times New Roman"/>
                <w:sz w:val="28"/>
                <w:szCs w:val="28"/>
              </w:rPr>
              <w:t xml:space="preserve">В рамках проведенной работы по увеличению доли перерабатываемой сельскохозяйственной продукции </w:t>
            </w:r>
            <w:proofErr w:type="spellStart"/>
            <w:r w:rsidRPr="005B5D96">
              <w:rPr>
                <w:rFonts w:ascii="Times New Roman" w:hAnsi="Times New Roman"/>
                <w:sz w:val="28"/>
                <w:szCs w:val="28"/>
              </w:rPr>
              <w:t>Ипатовским</w:t>
            </w:r>
            <w:proofErr w:type="spellEnd"/>
            <w:r w:rsidRPr="005B5D96">
              <w:rPr>
                <w:rFonts w:ascii="Times New Roman" w:hAnsi="Times New Roman"/>
                <w:sz w:val="28"/>
                <w:szCs w:val="28"/>
              </w:rPr>
              <w:t xml:space="preserve"> округом велась работа по достижению плановых значений показателей 2024 года, в частности:</w:t>
            </w:r>
          </w:p>
          <w:p w:rsidR="003601DB" w:rsidRPr="005B5D96" w:rsidRDefault="003601DB" w:rsidP="003601D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5D96">
              <w:rPr>
                <w:rFonts w:ascii="Times New Roman" w:hAnsi="Times New Roman"/>
                <w:sz w:val="28"/>
                <w:szCs w:val="28"/>
              </w:rPr>
              <w:t xml:space="preserve">- по объему валового сбора зерновых и зернобобовых культур в количестве 686,04 тысяч тонн, или 98,3 процента к плановому значению показателя (698,0 тысяч тонн). Снижение объема валового сбора зерновых и зернобобовых культур произошло по </w:t>
            </w:r>
            <w:r w:rsidRPr="005B5D96">
              <w:rPr>
                <w:rFonts w:ascii="Times New Roman" w:hAnsi="Times New Roman"/>
                <w:sz w:val="28"/>
                <w:szCs w:val="28"/>
              </w:rPr>
              <w:lastRenderedPageBreak/>
              <w:t>причине отсутствия в весенне-летний период продуктивных осадков в 2024 году, что привело к засухе;</w:t>
            </w:r>
          </w:p>
          <w:p w:rsidR="003601DB" w:rsidRPr="005B5D96" w:rsidRDefault="003601DB" w:rsidP="003601D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5D96">
              <w:rPr>
                <w:rFonts w:ascii="Times New Roman" w:hAnsi="Times New Roman"/>
                <w:sz w:val="28"/>
                <w:szCs w:val="28"/>
              </w:rPr>
              <w:t>- по объему отгруженных товаров собственного производства, выполненных работ и услуг собственными силами по производству пищевых продуктов и напитков в сумме 3793,8 миллионов рублей, или 101,2 процента к плановому значению показателя (3748,80 миллионов рублей);</w:t>
            </w:r>
          </w:p>
          <w:p w:rsidR="003B5058" w:rsidRPr="009C0011" w:rsidRDefault="003601DB" w:rsidP="003601D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5D96">
              <w:rPr>
                <w:rFonts w:ascii="Times New Roman" w:hAnsi="Times New Roman"/>
                <w:sz w:val="28"/>
                <w:szCs w:val="28"/>
              </w:rPr>
              <w:t>- по объему инвестиций, привлеченных в пищевую промышленность в сумме 185,6 миллионов рублей, или 105,2 процента к плановому значению (176,5 миллионов рублей).</w:t>
            </w:r>
            <w:r w:rsidR="003B5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lastRenderedPageBreak/>
              <w:t>Задача 3.3.  Увеличение темпов роста производства продукции промышленного производства</w:t>
            </w:r>
          </w:p>
        </w:tc>
      </w:tr>
      <w:tr w:rsidR="00AE1F67" w:rsidRPr="001821FB" w:rsidTr="00996106">
        <w:trPr>
          <w:gridBefore w:val="1"/>
          <w:wBefore w:w="6" w:type="dxa"/>
        </w:trPr>
        <w:tc>
          <w:tcPr>
            <w:tcW w:w="9319" w:type="dxa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Индекс объема отгруженных товаров собственного производства по промышленным видам экономической деятельности, процентов к предыдущему году</w:t>
            </w:r>
          </w:p>
        </w:tc>
        <w:tc>
          <w:tcPr>
            <w:tcW w:w="4109" w:type="dxa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112,0</w:t>
            </w:r>
          </w:p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shd w:val="clear" w:color="auto" w:fill="auto"/>
          </w:tcPr>
          <w:p w:rsidR="00AE1F67" w:rsidRPr="00AF6AAA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86D9D">
              <w:rPr>
                <w:rFonts w:ascii="Times New Roman" w:hAnsi="Times New Roman"/>
                <w:sz w:val="28"/>
                <w:szCs w:val="28"/>
              </w:rPr>
              <w:t>114,0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C20F26" w:rsidRPr="00426AD2" w:rsidRDefault="00C20F26" w:rsidP="00B86D9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AD2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AF6AAA">
              <w:rPr>
                <w:rFonts w:ascii="Times New Roman" w:hAnsi="Times New Roman"/>
                <w:sz w:val="28"/>
                <w:szCs w:val="28"/>
              </w:rPr>
              <w:t>4</w:t>
            </w:r>
            <w:r w:rsidRPr="00426AD2">
              <w:rPr>
                <w:rFonts w:ascii="Times New Roman" w:hAnsi="Times New Roman"/>
                <w:sz w:val="28"/>
                <w:szCs w:val="28"/>
              </w:rPr>
              <w:t xml:space="preserve"> году достигнуто, по итогам отчетного года индекс объема отгруженных товаров собственного производства по промышленным </w:t>
            </w:r>
            <w:r w:rsidRPr="00935AD1">
              <w:rPr>
                <w:rFonts w:ascii="Times New Roman" w:hAnsi="Times New Roman"/>
                <w:sz w:val="28"/>
                <w:szCs w:val="28"/>
              </w:rPr>
              <w:t xml:space="preserve">видам экономической деятельности составил </w:t>
            </w:r>
            <w:r w:rsidR="00AF6AAA" w:rsidRPr="00935AD1">
              <w:rPr>
                <w:rFonts w:ascii="Times New Roman" w:hAnsi="Times New Roman"/>
                <w:sz w:val="28"/>
                <w:szCs w:val="28"/>
              </w:rPr>
              <w:t>114,0</w:t>
            </w:r>
            <w:r w:rsidRPr="00935AD1">
              <w:rPr>
                <w:rFonts w:ascii="Times New Roman" w:hAnsi="Times New Roman"/>
                <w:sz w:val="28"/>
                <w:szCs w:val="28"/>
              </w:rPr>
              <w:t xml:space="preserve"> процентов</w:t>
            </w:r>
            <w:r w:rsidR="00935AD1" w:rsidRPr="00935AD1">
              <w:rPr>
                <w:rFonts w:ascii="Times New Roman" w:hAnsi="Times New Roman"/>
                <w:sz w:val="28"/>
                <w:szCs w:val="28"/>
              </w:rPr>
              <w:t>.</w:t>
            </w:r>
            <w:r w:rsidRPr="00935AD1"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r w:rsidR="00AF6AAA" w:rsidRPr="00935AD1">
              <w:rPr>
                <w:rFonts w:ascii="Times New Roman" w:hAnsi="Times New Roman"/>
                <w:sz w:val="28"/>
                <w:szCs w:val="28"/>
              </w:rPr>
              <w:t>3850,4</w:t>
            </w:r>
            <w:r w:rsidRPr="00935AD1">
              <w:rPr>
                <w:rFonts w:ascii="Times New Roman" w:hAnsi="Times New Roman"/>
                <w:sz w:val="28"/>
                <w:szCs w:val="28"/>
              </w:rPr>
              <w:t xml:space="preserve"> миллионов рублей (202</w:t>
            </w:r>
            <w:r w:rsidR="00AF6AAA" w:rsidRPr="00935AD1">
              <w:rPr>
                <w:rFonts w:ascii="Times New Roman" w:hAnsi="Times New Roman"/>
                <w:sz w:val="28"/>
                <w:szCs w:val="28"/>
              </w:rPr>
              <w:t>3</w:t>
            </w:r>
            <w:r w:rsidRPr="00935AD1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F6AAA" w:rsidRPr="00935AD1">
              <w:rPr>
                <w:rFonts w:ascii="Times New Roman" w:hAnsi="Times New Roman"/>
                <w:sz w:val="28"/>
                <w:szCs w:val="28"/>
              </w:rPr>
              <w:t>3377,5</w:t>
            </w:r>
            <w:r w:rsidRPr="00935AD1">
              <w:rPr>
                <w:rFonts w:ascii="Times New Roman" w:hAnsi="Times New Roman"/>
                <w:sz w:val="28"/>
                <w:szCs w:val="28"/>
              </w:rPr>
              <w:t xml:space="preserve"> миллионов рублей).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3.4. Создание благоприятного инвестиционного климата и положительного имиджа Ипатовского округа</w:t>
            </w:r>
          </w:p>
        </w:tc>
      </w:tr>
      <w:tr w:rsidR="00AE1F67" w:rsidRPr="00283C14" w:rsidTr="000300A3">
        <w:trPr>
          <w:gridBefore w:val="1"/>
          <w:wBefore w:w="6" w:type="dxa"/>
        </w:trPr>
        <w:tc>
          <w:tcPr>
            <w:tcW w:w="9319" w:type="dxa"/>
          </w:tcPr>
          <w:p w:rsidR="00AE1F67" w:rsidRPr="00283C14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 (за исключением бюджетных средств), млн. руб.</w:t>
            </w:r>
          </w:p>
        </w:tc>
        <w:tc>
          <w:tcPr>
            <w:tcW w:w="4109" w:type="dxa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4443,1</w:t>
            </w:r>
          </w:p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AE1F67" w:rsidRPr="00B41FB6" w:rsidRDefault="00B41FB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41FB6">
              <w:rPr>
                <w:rFonts w:ascii="Times New Roman" w:hAnsi="Times New Roman"/>
                <w:sz w:val="28"/>
                <w:szCs w:val="28"/>
              </w:rPr>
              <w:t>5544,7</w:t>
            </w:r>
          </w:p>
          <w:p w:rsidR="00AE1F67" w:rsidRPr="00283C14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41FB6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C20F26" w:rsidRPr="00B41FB6" w:rsidRDefault="00C20F26" w:rsidP="00B41FB6">
            <w:pPr>
              <w:widowControl w:val="0"/>
              <w:shd w:val="clear" w:color="auto" w:fill="FFFFFF"/>
              <w:autoSpaceDE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FB6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845219" w:rsidRPr="00B41FB6">
              <w:rPr>
                <w:rFonts w:ascii="Times New Roman" w:hAnsi="Times New Roman"/>
                <w:sz w:val="28"/>
                <w:szCs w:val="28"/>
              </w:rPr>
              <w:t>4</w:t>
            </w:r>
            <w:r w:rsidRPr="00B41FB6">
              <w:rPr>
                <w:rFonts w:ascii="Times New Roman" w:hAnsi="Times New Roman"/>
                <w:sz w:val="28"/>
                <w:szCs w:val="28"/>
              </w:rPr>
              <w:t xml:space="preserve"> году достигнуто, по оценке, в отчетном году общий объем инвестиций в основной капитал (за исключением бюджетных средств) сложился в сумме </w:t>
            </w:r>
            <w:r w:rsidR="00B41FB6" w:rsidRPr="00B41FB6">
              <w:rPr>
                <w:rFonts w:ascii="Times New Roman" w:hAnsi="Times New Roman"/>
                <w:sz w:val="28"/>
                <w:szCs w:val="28"/>
              </w:rPr>
              <w:t>5544,7</w:t>
            </w:r>
            <w:r w:rsidRPr="00B41FB6">
              <w:rPr>
                <w:rFonts w:ascii="Times New Roman" w:hAnsi="Times New Roman"/>
                <w:sz w:val="28"/>
                <w:szCs w:val="28"/>
              </w:rPr>
              <w:t xml:space="preserve"> миллионов рублей</w:t>
            </w:r>
            <w:r w:rsidR="00B41FB6">
              <w:rPr>
                <w:rFonts w:ascii="Times New Roman" w:hAnsi="Times New Roman"/>
                <w:sz w:val="28"/>
                <w:szCs w:val="28"/>
              </w:rPr>
              <w:t>, превысив на 24,8</w:t>
            </w:r>
            <w:r w:rsidR="00B41FB6" w:rsidRPr="005B5D96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  <w:r w:rsidR="00B41FB6">
              <w:rPr>
                <w:rFonts w:ascii="Times New Roman" w:hAnsi="Times New Roman"/>
                <w:sz w:val="28"/>
                <w:szCs w:val="28"/>
              </w:rPr>
              <w:t>ных пункта</w:t>
            </w:r>
            <w:r w:rsidR="00B41FB6" w:rsidRPr="005B5D96">
              <w:rPr>
                <w:rFonts w:ascii="Times New Roman" w:hAnsi="Times New Roman"/>
                <w:sz w:val="28"/>
                <w:szCs w:val="28"/>
              </w:rPr>
              <w:t xml:space="preserve"> планов</w:t>
            </w:r>
            <w:r w:rsidR="00B41FB6">
              <w:rPr>
                <w:rFonts w:ascii="Times New Roman" w:hAnsi="Times New Roman"/>
                <w:sz w:val="28"/>
                <w:szCs w:val="28"/>
              </w:rPr>
              <w:t>ое</w:t>
            </w:r>
            <w:r w:rsidR="00B41FB6" w:rsidRPr="005B5D96">
              <w:rPr>
                <w:rFonts w:ascii="Times New Roman" w:hAnsi="Times New Roman"/>
                <w:sz w:val="28"/>
                <w:szCs w:val="28"/>
              </w:rPr>
              <w:t xml:space="preserve"> значени</w:t>
            </w:r>
            <w:r w:rsidR="00B41FB6">
              <w:rPr>
                <w:rFonts w:ascii="Times New Roman" w:hAnsi="Times New Roman"/>
                <w:sz w:val="28"/>
                <w:szCs w:val="28"/>
              </w:rPr>
              <w:t>е</w:t>
            </w:r>
            <w:r w:rsidR="00B41FB6" w:rsidRPr="005B5D96">
              <w:rPr>
                <w:rFonts w:ascii="Times New Roman" w:hAnsi="Times New Roman"/>
                <w:sz w:val="28"/>
                <w:szCs w:val="28"/>
              </w:rPr>
              <w:t xml:space="preserve"> показателя (</w:t>
            </w:r>
            <w:r w:rsidR="00B41FB6">
              <w:rPr>
                <w:rFonts w:ascii="Times New Roman" w:hAnsi="Times New Roman"/>
                <w:sz w:val="28"/>
                <w:szCs w:val="28"/>
              </w:rPr>
              <w:t>4443,1 миллионов рублей</w:t>
            </w:r>
            <w:r w:rsidR="00B41FB6" w:rsidRPr="005B5D96">
              <w:rPr>
                <w:rFonts w:ascii="Times New Roman" w:hAnsi="Times New Roman"/>
                <w:sz w:val="28"/>
                <w:szCs w:val="28"/>
              </w:rPr>
              <w:t>)</w:t>
            </w:r>
            <w:r w:rsidR="00B41FB6">
              <w:rPr>
                <w:rFonts w:ascii="Times New Roman" w:hAnsi="Times New Roman"/>
                <w:sz w:val="28"/>
                <w:szCs w:val="28"/>
              </w:rPr>
              <w:t>,</w:t>
            </w:r>
            <w:r w:rsidR="00B41FB6" w:rsidRPr="00B41FB6">
              <w:rPr>
                <w:rFonts w:ascii="Times New Roman" w:hAnsi="Times New Roman"/>
                <w:sz w:val="28"/>
                <w:szCs w:val="28"/>
              </w:rPr>
              <w:t xml:space="preserve"> или 110,0 процентов к годовому плановому показателю (5143,54 миллионов рублей), утвержденному Губернатором Ставропольского края. В результате реализации инвестиционных проектов создано 69 новых рабочих мест, сохранено 470 рабочих мест.</w:t>
            </w:r>
          </w:p>
        </w:tc>
      </w:tr>
      <w:tr w:rsidR="00AE1F67" w:rsidRPr="001821FB" w:rsidTr="00A96323">
        <w:trPr>
          <w:gridBefore w:val="1"/>
          <w:wBefore w:w="6" w:type="dxa"/>
        </w:trPr>
        <w:tc>
          <w:tcPr>
            <w:tcW w:w="9319" w:type="dxa"/>
            <w:vAlign w:val="center"/>
          </w:tcPr>
          <w:p w:rsidR="00AE1F67" w:rsidRPr="00283C14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 (за исключением бюджетных средств) в расчете на 1 жителя, тыс. руб.</w:t>
            </w:r>
          </w:p>
        </w:tc>
        <w:tc>
          <w:tcPr>
            <w:tcW w:w="4109" w:type="dxa"/>
          </w:tcPr>
          <w:p w:rsidR="00AE1F67" w:rsidRPr="00B41FB6" w:rsidRDefault="00AE1F67" w:rsidP="00B41FB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1FB6">
              <w:rPr>
                <w:rFonts w:ascii="Times New Roman" w:hAnsi="Times New Roman"/>
                <w:sz w:val="28"/>
                <w:szCs w:val="28"/>
              </w:rPr>
              <w:t>75,4</w:t>
            </w:r>
          </w:p>
          <w:p w:rsidR="00AE1F67" w:rsidRPr="00B41FB6" w:rsidRDefault="00AE1F67" w:rsidP="00B41FB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267" w:type="dxa"/>
          </w:tcPr>
          <w:p w:rsidR="00AE1F67" w:rsidRPr="00A55024" w:rsidRDefault="00A55024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024">
              <w:rPr>
                <w:rFonts w:ascii="Times New Roman" w:hAnsi="Times New Roman"/>
                <w:sz w:val="28"/>
                <w:szCs w:val="28"/>
              </w:rPr>
              <w:t>98,0</w:t>
            </w:r>
          </w:p>
          <w:p w:rsidR="00AE1F67" w:rsidRPr="004D5EFE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  <w:highlight w:val="yellow"/>
              </w:rPr>
            </w:pPr>
            <w:r w:rsidRPr="00A55024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  <w:vAlign w:val="center"/>
          </w:tcPr>
          <w:p w:rsidR="00C20F26" w:rsidRPr="00A55024" w:rsidRDefault="00C20F26" w:rsidP="00A5502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024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845219" w:rsidRPr="00A55024">
              <w:rPr>
                <w:rFonts w:ascii="Times New Roman" w:hAnsi="Times New Roman"/>
                <w:sz w:val="28"/>
                <w:szCs w:val="28"/>
              </w:rPr>
              <w:t>4</w:t>
            </w:r>
            <w:r w:rsidRPr="00A55024">
              <w:rPr>
                <w:rFonts w:ascii="Times New Roman" w:hAnsi="Times New Roman"/>
                <w:sz w:val="28"/>
                <w:szCs w:val="28"/>
              </w:rPr>
              <w:t xml:space="preserve"> году достигнуто, по оценке, в отчетном году объем инвестиций в основной капитал (за исключением бюджетных средств) в расчете на 1 жителя составил </w:t>
            </w:r>
            <w:r w:rsidR="00A55024" w:rsidRPr="00A55024">
              <w:rPr>
                <w:rFonts w:ascii="Times New Roman" w:hAnsi="Times New Roman"/>
                <w:sz w:val="28"/>
                <w:szCs w:val="28"/>
              </w:rPr>
              <w:t>98,0</w:t>
            </w:r>
            <w:r w:rsidRPr="00A55024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3.5. Развитие экспорта товаров и услуг</w:t>
            </w:r>
          </w:p>
        </w:tc>
      </w:tr>
      <w:tr w:rsidR="00AE1F67" w:rsidRPr="001821FB" w:rsidTr="00CB0477">
        <w:trPr>
          <w:gridBefore w:val="1"/>
          <w:wBefore w:w="6" w:type="dxa"/>
        </w:trPr>
        <w:tc>
          <w:tcPr>
            <w:tcW w:w="9319" w:type="dxa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Прирост компаний-экспортеров из числа субъектов малого и среднего предпринимательства по итогам внедрения Регионального экспортного стандарта 2,0, Единиц, к предыдущему году</w:t>
            </w:r>
          </w:p>
        </w:tc>
        <w:tc>
          <w:tcPr>
            <w:tcW w:w="4109" w:type="dxa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AE1F67" w:rsidRPr="00BB28C4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  <w:highlight w:val="yellow"/>
              </w:rPr>
            </w:pPr>
            <w:r w:rsidRPr="00BB28C4">
              <w:rPr>
                <w:rFonts w:ascii="Times New Roman" w:hAnsi="Times New Roman"/>
                <w:color w:val="FF0000"/>
                <w:sz w:val="28"/>
                <w:szCs w:val="28"/>
              </w:rPr>
              <w:t>0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C20F26" w:rsidRPr="00F56E50" w:rsidRDefault="00C20F26" w:rsidP="00F56E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E50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CC4902">
              <w:rPr>
                <w:rFonts w:ascii="Times New Roman" w:hAnsi="Times New Roman"/>
                <w:sz w:val="28"/>
                <w:szCs w:val="28"/>
              </w:rPr>
              <w:t>4</w:t>
            </w:r>
            <w:r w:rsidRPr="00F56E5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BB28C4" w:rsidRPr="00F56E50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F56E50">
              <w:rPr>
                <w:rFonts w:ascii="Times New Roman" w:hAnsi="Times New Roman"/>
                <w:sz w:val="28"/>
                <w:szCs w:val="28"/>
              </w:rPr>
              <w:t xml:space="preserve">достигнуто, прирост компаний-экспортеров из числа субъектов малого и среднего предпринимательства по итогам внедрения Регионального экспортного стандарта 2,0, единиц, составило </w:t>
            </w:r>
            <w:r w:rsidR="00C90261" w:rsidRPr="00F56E50">
              <w:rPr>
                <w:rFonts w:ascii="Times New Roman" w:hAnsi="Times New Roman"/>
                <w:sz w:val="28"/>
                <w:szCs w:val="28"/>
              </w:rPr>
              <w:t>0 единиц</w:t>
            </w:r>
            <w:r w:rsidRPr="00F56E5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56E50" w:rsidRPr="00F56E50" w:rsidRDefault="00F56E50" w:rsidP="009B0E6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E50">
              <w:rPr>
                <w:rFonts w:ascii="Times New Roman" w:hAnsi="Times New Roman"/>
                <w:sz w:val="28"/>
                <w:szCs w:val="28"/>
              </w:rPr>
              <w:t>Администрацией Ипатовского округа ведется мониторинг предприятий, зарегистрированных на территории округа, которые осуществляют экспортную деятельность или имеющих экспортный потенциал. По итогам проведенного мониторинга в 202</w:t>
            </w:r>
            <w:r w:rsidR="00845219">
              <w:rPr>
                <w:rFonts w:ascii="Times New Roman" w:hAnsi="Times New Roman"/>
                <w:sz w:val="28"/>
                <w:szCs w:val="28"/>
              </w:rPr>
              <w:t>4</w:t>
            </w:r>
            <w:r w:rsidRPr="00F56E50">
              <w:rPr>
                <w:rFonts w:ascii="Times New Roman" w:hAnsi="Times New Roman"/>
                <w:sz w:val="28"/>
                <w:szCs w:val="28"/>
              </w:rPr>
              <w:t xml:space="preserve"> году установлено, что на территории округа осуществляют деятельность </w:t>
            </w:r>
            <w:r w:rsidR="009B0E62">
              <w:rPr>
                <w:rFonts w:ascii="Times New Roman" w:hAnsi="Times New Roman"/>
                <w:sz w:val="28"/>
                <w:szCs w:val="28"/>
              </w:rPr>
              <w:t>16</w:t>
            </w:r>
            <w:r w:rsidRPr="00F56E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56E50">
              <w:rPr>
                <w:rFonts w:ascii="Times New Roman" w:hAnsi="Times New Roman"/>
                <w:sz w:val="28"/>
                <w:szCs w:val="28"/>
              </w:rPr>
              <w:t>экспорто</w:t>
            </w:r>
            <w:proofErr w:type="spellEnd"/>
            <w:r w:rsidRPr="00F56E50">
              <w:rPr>
                <w:rFonts w:ascii="Times New Roman" w:hAnsi="Times New Roman"/>
                <w:sz w:val="28"/>
                <w:szCs w:val="28"/>
              </w:rPr>
              <w:t xml:space="preserve"> - ориентированных предприяти</w:t>
            </w:r>
            <w:r w:rsidR="009B0E62">
              <w:rPr>
                <w:rFonts w:ascii="Times New Roman" w:hAnsi="Times New Roman"/>
                <w:sz w:val="28"/>
                <w:szCs w:val="28"/>
              </w:rPr>
              <w:t>я</w:t>
            </w:r>
            <w:r w:rsidRPr="00F56E50">
              <w:rPr>
                <w:rFonts w:ascii="Times New Roman" w:hAnsi="Times New Roman"/>
                <w:sz w:val="28"/>
                <w:szCs w:val="28"/>
              </w:rPr>
              <w:t>.</w:t>
            </w:r>
            <w:r w:rsidR="00E51A92">
              <w:rPr>
                <w:rFonts w:ascii="Times New Roman" w:hAnsi="Times New Roman"/>
                <w:sz w:val="28"/>
                <w:szCs w:val="28"/>
              </w:rPr>
              <w:t xml:space="preserve"> При всех </w:t>
            </w:r>
            <w:r w:rsidR="00E51A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проводимых мероприятиях на территории округа, ввиду неконкурентоспособности </w:t>
            </w:r>
            <w:r w:rsidR="006C2D8E">
              <w:rPr>
                <w:rFonts w:ascii="Times New Roman" w:hAnsi="Times New Roman"/>
                <w:sz w:val="28"/>
                <w:szCs w:val="28"/>
              </w:rPr>
              <w:t xml:space="preserve">российских товаров, экономических санкций против Российской Федерации, </w:t>
            </w:r>
            <w:r w:rsidR="00E51A92">
              <w:rPr>
                <w:rFonts w:ascii="Times New Roman" w:hAnsi="Times New Roman"/>
                <w:sz w:val="28"/>
                <w:szCs w:val="28"/>
              </w:rPr>
              <w:t xml:space="preserve">и высокой стоимости доставки продукции за рубеж, в отчетном году </w:t>
            </w:r>
            <w:r w:rsidR="00E51A92" w:rsidRPr="00F56E50">
              <w:rPr>
                <w:rFonts w:ascii="Times New Roman" w:hAnsi="Times New Roman"/>
                <w:sz w:val="28"/>
                <w:szCs w:val="28"/>
              </w:rPr>
              <w:t>субъект</w:t>
            </w:r>
            <w:r w:rsidR="00E51A92">
              <w:rPr>
                <w:rFonts w:ascii="Times New Roman" w:hAnsi="Times New Roman"/>
                <w:sz w:val="28"/>
                <w:szCs w:val="28"/>
              </w:rPr>
              <w:t>ами</w:t>
            </w:r>
            <w:r w:rsidR="00E51A92" w:rsidRPr="00F56E50">
              <w:rPr>
                <w:rFonts w:ascii="Times New Roman" w:hAnsi="Times New Roman"/>
                <w:sz w:val="28"/>
                <w:szCs w:val="28"/>
              </w:rPr>
              <w:t xml:space="preserve"> малого и среднего предпринимательства</w:t>
            </w:r>
            <w:r w:rsidR="00E51A92">
              <w:rPr>
                <w:rFonts w:ascii="Times New Roman" w:hAnsi="Times New Roman"/>
                <w:sz w:val="28"/>
                <w:szCs w:val="28"/>
              </w:rPr>
              <w:t xml:space="preserve"> экспортная деятельность не осуществлялась.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lastRenderedPageBreak/>
              <w:t>Задача 3.6. Развитие транспортной инфраструктуры и обеспечение безопасности в сфере транспорта</w:t>
            </w:r>
          </w:p>
        </w:tc>
      </w:tr>
      <w:tr w:rsidR="00AE1F67" w:rsidRPr="001821FB" w:rsidTr="00EA7285">
        <w:trPr>
          <w:gridBefore w:val="1"/>
          <w:wBefore w:w="6" w:type="dxa"/>
        </w:trPr>
        <w:tc>
          <w:tcPr>
            <w:tcW w:w="9319" w:type="dxa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Перевезено пассажиров, тыс. чел. в год</w:t>
            </w:r>
          </w:p>
        </w:tc>
        <w:tc>
          <w:tcPr>
            <w:tcW w:w="4109" w:type="dxa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452</w:t>
            </w:r>
            <w:r w:rsidRPr="00680EF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267" w:type="dxa"/>
          </w:tcPr>
          <w:p w:rsidR="00AE1F67" w:rsidRPr="00BB28C4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232,8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  <w:shd w:val="clear" w:color="auto" w:fill="auto"/>
          </w:tcPr>
          <w:p w:rsidR="00C20F26" w:rsidRPr="004D5EFE" w:rsidRDefault="00C20F26" w:rsidP="0001557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91903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845219">
              <w:rPr>
                <w:rFonts w:ascii="Times New Roman" w:hAnsi="Times New Roman"/>
                <w:sz w:val="28"/>
                <w:szCs w:val="28"/>
              </w:rPr>
              <w:t>4</w:t>
            </w:r>
            <w:r w:rsidRPr="00D91903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D91903" w:rsidRPr="00D91903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D91903">
              <w:rPr>
                <w:rFonts w:ascii="Times New Roman" w:hAnsi="Times New Roman"/>
                <w:sz w:val="28"/>
                <w:szCs w:val="28"/>
              </w:rPr>
              <w:t xml:space="preserve">достигнуто, перевезено пассажиров </w:t>
            </w:r>
            <w:r w:rsidR="00845219">
              <w:rPr>
                <w:rFonts w:ascii="Times New Roman" w:hAnsi="Times New Roman"/>
                <w:sz w:val="28"/>
                <w:szCs w:val="28"/>
              </w:rPr>
              <w:t>232,8</w:t>
            </w:r>
            <w:r w:rsidRPr="00D91903">
              <w:rPr>
                <w:rFonts w:ascii="Times New Roman" w:hAnsi="Times New Roman"/>
                <w:sz w:val="28"/>
                <w:szCs w:val="28"/>
              </w:rPr>
              <w:t xml:space="preserve"> тысяч человек</w:t>
            </w:r>
            <w:r w:rsidRPr="006A5F72">
              <w:rPr>
                <w:rFonts w:ascii="Times New Roman" w:hAnsi="Times New Roman"/>
                <w:sz w:val="28"/>
                <w:szCs w:val="28"/>
              </w:rPr>
              <w:t xml:space="preserve">, или </w:t>
            </w:r>
            <w:r w:rsidR="006A5F72" w:rsidRPr="006A5F72">
              <w:rPr>
                <w:rFonts w:ascii="Times New Roman" w:hAnsi="Times New Roman"/>
                <w:sz w:val="28"/>
                <w:szCs w:val="28"/>
              </w:rPr>
              <w:t>65,7</w:t>
            </w:r>
            <w:r w:rsidRPr="006A5F72">
              <w:rPr>
                <w:rFonts w:ascii="Times New Roman" w:hAnsi="Times New Roman"/>
                <w:sz w:val="28"/>
                <w:szCs w:val="28"/>
              </w:rPr>
              <w:t xml:space="preserve"> процентов к уровню 202</w:t>
            </w:r>
            <w:r w:rsidR="006A5F72" w:rsidRPr="006A5F72">
              <w:rPr>
                <w:rFonts w:ascii="Times New Roman" w:hAnsi="Times New Roman"/>
                <w:sz w:val="28"/>
                <w:szCs w:val="28"/>
              </w:rPr>
              <w:t>3</w:t>
            </w:r>
            <w:r w:rsidRPr="006A5F72">
              <w:rPr>
                <w:rFonts w:ascii="Times New Roman" w:hAnsi="Times New Roman"/>
                <w:sz w:val="28"/>
                <w:szCs w:val="28"/>
              </w:rPr>
              <w:t xml:space="preserve"> года (</w:t>
            </w:r>
            <w:r w:rsidR="006A5F72" w:rsidRPr="006A5F72">
              <w:rPr>
                <w:rFonts w:ascii="Times New Roman" w:hAnsi="Times New Roman"/>
                <w:sz w:val="28"/>
                <w:szCs w:val="28"/>
              </w:rPr>
              <w:t>354,1</w:t>
            </w:r>
            <w:r w:rsidRPr="006A5F72">
              <w:rPr>
                <w:rFonts w:ascii="Times New Roman" w:hAnsi="Times New Roman"/>
                <w:sz w:val="28"/>
                <w:szCs w:val="28"/>
              </w:rPr>
              <w:t xml:space="preserve"> тысяч человек)</w:t>
            </w:r>
            <w:r w:rsidR="006A5F72" w:rsidRPr="006A5F72">
              <w:rPr>
                <w:rFonts w:ascii="Times New Roman" w:hAnsi="Times New Roman"/>
                <w:sz w:val="28"/>
                <w:szCs w:val="28"/>
              </w:rPr>
              <w:t>.</w:t>
            </w:r>
            <w:r w:rsidRPr="006A5F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6586" w:rsidRPr="006A5F72">
              <w:rPr>
                <w:rFonts w:ascii="Times New Roman" w:hAnsi="Times New Roman"/>
                <w:sz w:val="28"/>
                <w:szCs w:val="28"/>
              </w:rPr>
              <w:t xml:space="preserve">Пассажирооборот составил </w:t>
            </w:r>
            <w:r w:rsidR="006A5F72" w:rsidRPr="006A5F72">
              <w:rPr>
                <w:rFonts w:ascii="Times New Roman" w:hAnsi="Times New Roman"/>
                <w:sz w:val="28"/>
                <w:szCs w:val="28"/>
              </w:rPr>
              <w:t>3007,9</w:t>
            </w:r>
            <w:r w:rsidR="00FF6586" w:rsidRPr="006A5F72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proofErr w:type="spellStart"/>
            <w:r w:rsidR="00FF6586" w:rsidRPr="006A5F72">
              <w:rPr>
                <w:rFonts w:ascii="Times New Roman" w:hAnsi="Times New Roman"/>
                <w:sz w:val="28"/>
                <w:szCs w:val="28"/>
              </w:rPr>
              <w:t>пассажиро</w:t>
            </w:r>
            <w:proofErr w:type="spellEnd"/>
            <w:r w:rsidR="00FF6586" w:rsidRPr="006A5F72">
              <w:rPr>
                <w:rFonts w:ascii="Times New Roman" w:hAnsi="Times New Roman"/>
                <w:sz w:val="28"/>
                <w:szCs w:val="28"/>
              </w:rPr>
              <w:t xml:space="preserve">- километров, </w:t>
            </w:r>
            <w:r w:rsidR="00FF6586" w:rsidRPr="006A5F72">
              <w:rPr>
                <w:rFonts w:ascii="Times New Roman" w:hAnsi="Times New Roman"/>
                <w:bCs/>
                <w:sz w:val="28"/>
                <w:szCs w:val="28"/>
              </w:rPr>
              <w:t xml:space="preserve">или </w:t>
            </w:r>
            <w:r w:rsidR="006A5F72" w:rsidRPr="006A5F72">
              <w:rPr>
                <w:rFonts w:ascii="Times New Roman" w:hAnsi="Times New Roman"/>
                <w:bCs/>
                <w:sz w:val="28"/>
                <w:szCs w:val="28"/>
              </w:rPr>
              <w:t>54,6</w:t>
            </w:r>
            <w:r w:rsidR="00FF6586" w:rsidRPr="006A5F72">
              <w:rPr>
                <w:rFonts w:ascii="Times New Roman" w:hAnsi="Times New Roman"/>
                <w:bCs/>
                <w:sz w:val="28"/>
                <w:szCs w:val="28"/>
              </w:rPr>
              <w:t xml:space="preserve"> процентов к уровню 202</w:t>
            </w:r>
            <w:r w:rsidR="006A5F72" w:rsidRPr="006A5F72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FF6586" w:rsidRPr="006A5F72">
              <w:rPr>
                <w:rFonts w:ascii="Times New Roman" w:hAnsi="Times New Roman"/>
                <w:bCs/>
                <w:sz w:val="28"/>
                <w:szCs w:val="28"/>
              </w:rPr>
              <w:t xml:space="preserve"> года (</w:t>
            </w:r>
            <w:r w:rsidR="006A5F72" w:rsidRPr="006A5F72">
              <w:rPr>
                <w:rFonts w:ascii="Times New Roman" w:hAnsi="Times New Roman"/>
                <w:sz w:val="28"/>
                <w:szCs w:val="28"/>
              </w:rPr>
              <w:t>5510,7</w:t>
            </w:r>
            <w:r w:rsidR="00FF6586" w:rsidRPr="006A5F72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proofErr w:type="spellStart"/>
            <w:r w:rsidR="00FF6586" w:rsidRPr="006A5F72">
              <w:rPr>
                <w:rFonts w:ascii="Times New Roman" w:hAnsi="Times New Roman"/>
                <w:sz w:val="28"/>
                <w:szCs w:val="28"/>
              </w:rPr>
              <w:t>пассажиро</w:t>
            </w:r>
            <w:proofErr w:type="spellEnd"/>
            <w:r w:rsidR="00FF6586" w:rsidRPr="006A5F72">
              <w:rPr>
                <w:rFonts w:ascii="Times New Roman" w:hAnsi="Times New Roman"/>
                <w:sz w:val="28"/>
                <w:szCs w:val="28"/>
              </w:rPr>
              <w:t>- километров</w:t>
            </w:r>
            <w:r w:rsidR="00FF6586" w:rsidRPr="006A5F72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  <w:r w:rsidR="00FF6586" w:rsidRPr="006A5F72">
              <w:rPr>
                <w:rFonts w:ascii="Times New Roman" w:hAnsi="Times New Roman"/>
                <w:sz w:val="28"/>
                <w:szCs w:val="28"/>
              </w:rPr>
              <w:t xml:space="preserve">. Причиной снижения показателя обусловлено ростом частных автомобилей, в связи с чем снижены внутрирайонные автобусные маршруты. Регулярное транспортное обслуживание населения Ипатовского округа обеспечивается </w:t>
            </w:r>
            <w:r w:rsidR="006A5F72" w:rsidRPr="006A5F72">
              <w:rPr>
                <w:rFonts w:ascii="Times New Roman" w:hAnsi="Times New Roman"/>
                <w:sz w:val="28"/>
                <w:szCs w:val="28"/>
              </w:rPr>
              <w:t>13</w:t>
            </w:r>
            <w:r w:rsidR="00FF6586" w:rsidRPr="006A5F72">
              <w:rPr>
                <w:rFonts w:ascii="Times New Roman" w:hAnsi="Times New Roman"/>
                <w:sz w:val="28"/>
                <w:szCs w:val="28"/>
              </w:rPr>
              <w:t xml:space="preserve"> внутрирайонными автобусными маршрутами (в 202</w:t>
            </w:r>
            <w:r w:rsidR="006A5F72" w:rsidRPr="006A5F72">
              <w:rPr>
                <w:rFonts w:ascii="Times New Roman" w:hAnsi="Times New Roman"/>
                <w:sz w:val="28"/>
                <w:szCs w:val="28"/>
              </w:rPr>
              <w:t>3</w:t>
            </w:r>
            <w:r w:rsidR="00FF6586" w:rsidRPr="006A5F72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  <w:r w:rsidR="006A5F72" w:rsidRPr="006A5F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6586" w:rsidRPr="006A5F72">
              <w:rPr>
                <w:rFonts w:ascii="Times New Roman" w:hAnsi="Times New Roman"/>
                <w:sz w:val="28"/>
                <w:szCs w:val="28"/>
              </w:rPr>
              <w:t>- 1</w:t>
            </w:r>
            <w:r w:rsidR="006A5F72" w:rsidRPr="006A5F72">
              <w:rPr>
                <w:rFonts w:ascii="Times New Roman" w:hAnsi="Times New Roman"/>
                <w:sz w:val="28"/>
                <w:szCs w:val="28"/>
              </w:rPr>
              <w:t>2</w:t>
            </w:r>
            <w:r w:rsidR="00FF6586" w:rsidRPr="006A5F72">
              <w:rPr>
                <w:rFonts w:ascii="Times New Roman" w:hAnsi="Times New Roman"/>
                <w:sz w:val="28"/>
                <w:szCs w:val="28"/>
              </w:rPr>
              <w:t xml:space="preserve">), где задействовано </w:t>
            </w:r>
            <w:r w:rsidR="006A5F72" w:rsidRPr="006A5F72">
              <w:rPr>
                <w:rFonts w:ascii="Times New Roman" w:hAnsi="Times New Roman"/>
                <w:sz w:val="28"/>
                <w:szCs w:val="28"/>
              </w:rPr>
              <w:t>17</w:t>
            </w:r>
            <w:r w:rsidR="00FF6586" w:rsidRPr="006A5F72">
              <w:rPr>
                <w:rFonts w:ascii="Times New Roman" w:hAnsi="Times New Roman"/>
                <w:sz w:val="28"/>
                <w:szCs w:val="28"/>
              </w:rPr>
              <w:t xml:space="preserve"> маршрутных автобусов. Администрацией Ипатовского округа на постоянной основе проводится работа с </w:t>
            </w:r>
            <w:proofErr w:type="spellStart"/>
            <w:r w:rsidR="00FF6586" w:rsidRPr="006A5F72">
              <w:rPr>
                <w:rFonts w:ascii="Times New Roman" w:hAnsi="Times New Roman"/>
                <w:sz w:val="28"/>
                <w:szCs w:val="28"/>
              </w:rPr>
              <w:t>пассажироперевозчиками</w:t>
            </w:r>
            <w:proofErr w:type="spellEnd"/>
            <w:r w:rsidR="00FF6586" w:rsidRPr="006A5F72">
              <w:rPr>
                <w:rFonts w:ascii="Times New Roman" w:hAnsi="Times New Roman"/>
                <w:sz w:val="28"/>
                <w:szCs w:val="28"/>
              </w:rPr>
              <w:t xml:space="preserve">. Прорабатывается вопрос оптимизации маршрутной сети, расписания движения транспортных средств. </w:t>
            </w:r>
          </w:p>
        </w:tc>
      </w:tr>
      <w:tr w:rsidR="00AE1F67" w:rsidRPr="001821FB" w:rsidTr="00942E54">
        <w:trPr>
          <w:gridBefore w:val="1"/>
          <w:wBefore w:w="6" w:type="dxa"/>
        </w:trPr>
        <w:tc>
          <w:tcPr>
            <w:tcW w:w="9319" w:type="dxa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Доля протяженности автомобильных дорог, общего пользования местного значения не отвечающих нормативным требованиям, в общей протяженности автомобильных дорог общего пользования местного значения, в процентах</w:t>
            </w:r>
          </w:p>
        </w:tc>
        <w:tc>
          <w:tcPr>
            <w:tcW w:w="4109" w:type="dxa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70,6</w:t>
            </w:r>
          </w:p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AE1F67" w:rsidRPr="004D5EFE" w:rsidRDefault="006A5F72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A5F72">
              <w:rPr>
                <w:rFonts w:ascii="Times New Roman" w:hAnsi="Times New Roman"/>
                <w:sz w:val="28"/>
                <w:szCs w:val="28"/>
              </w:rPr>
              <w:t xml:space="preserve">31.2 </w:t>
            </w:r>
            <w:r w:rsidRPr="006A5F72">
              <w:rPr>
                <w:rFonts w:ascii="Times New Roman" w:hAnsi="Times New Roman"/>
                <w:sz w:val="26"/>
                <w:szCs w:val="26"/>
              </w:rPr>
              <w:t>(положительный)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  <w:vAlign w:val="center"/>
          </w:tcPr>
          <w:p w:rsidR="00766B42" w:rsidRPr="00847FEC" w:rsidRDefault="00C20F26" w:rsidP="00766B4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5F72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6A5F72" w:rsidRPr="006A5F72">
              <w:rPr>
                <w:rFonts w:ascii="Times New Roman" w:hAnsi="Times New Roman"/>
                <w:sz w:val="28"/>
                <w:szCs w:val="28"/>
              </w:rPr>
              <w:t>4</w:t>
            </w:r>
            <w:r w:rsidRPr="006A5F72">
              <w:rPr>
                <w:rFonts w:ascii="Times New Roman" w:hAnsi="Times New Roman"/>
                <w:sz w:val="28"/>
                <w:szCs w:val="28"/>
              </w:rPr>
              <w:t xml:space="preserve"> году достигнуто, доля протяженности автомобильных дорог, общего пользования местного значения не отвечающих нормативным требованиям, в общей протяженности автомобильных дорог </w:t>
            </w:r>
            <w:r w:rsidRPr="00847FEC">
              <w:rPr>
                <w:rFonts w:ascii="Times New Roman" w:hAnsi="Times New Roman"/>
                <w:sz w:val="28"/>
                <w:szCs w:val="28"/>
              </w:rPr>
              <w:t xml:space="preserve">общего пользования местного значения составила </w:t>
            </w:r>
            <w:r w:rsidR="006A5F72" w:rsidRPr="00847FEC">
              <w:rPr>
                <w:rFonts w:ascii="Times New Roman" w:hAnsi="Times New Roman"/>
                <w:sz w:val="28"/>
                <w:szCs w:val="28"/>
              </w:rPr>
              <w:t>31,2</w:t>
            </w:r>
            <w:r w:rsidRPr="00847FEC">
              <w:rPr>
                <w:rFonts w:ascii="Times New Roman" w:hAnsi="Times New Roman"/>
                <w:sz w:val="28"/>
                <w:szCs w:val="28"/>
              </w:rPr>
              <w:t xml:space="preserve"> процента.</w:t>
            </w:r>
            <w:r w:rsidR="00766B42" w:rsidRPr="00847F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>На улучшение условий дорожного движения и устранения опасных участков на автомобильных дорогах освоено – 16 991,32 тысяч рублей в том числе: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 xml:space="preserve">Выполнены работы: 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 xml:space="preserve">По содержанию автомобильных дорог на сумму – 13 811,16 тыс. рублей в том числе: 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>по зимнему содержанию автодорог на сумму – 1 840,94 тысяч рублей,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>ямочному ремонту асфальтобетонного покрытия автомобильных дорог 6000, м2 на сумму – 5 934,43 тысяч рублей;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 xml:space="preserve">нанесению горизонтальной дорожной разметки – на сумму 2 600,00 тыс. рублей; 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>разделение встречных потоков на четырех полосной автомобильной дороге установка столбиков) 1,510 км на сумму 1 191, 16 тыс. рублей.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 xml:space="preserve">В рамках реализации государственной программы Ставропольского края «Развитие транспортной системы»: 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 xml:space="preserve">Выполнены работы по ремонту: 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>автомобильной дороги по ул. Ленинградская в г. Ипатово – протяженностью 1,322 км на общую сумму – 19 247,62 тыс. рублей, в том числе КБ- 18 285,24 тыс. рублей, МБ – 962,38 тыс. рублей;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 xml:space="preserve">автомобильной дороги Подъезд к с. Первомайское от автомобильной дороги «Преградное-Тахта-Ипатово», проходящей по ул. </w:t>
            </w:r>
            <w:r w:rsidRPr="00847FEC">
              <w:rPr>
                <w:rFonts w:ascii="Times New Roman" w:hAnsi="Times New Roman"/>
                <w:sz w:val="28"/>
                <w:szCs w:val="28"/>
              </w:rPr>
              <w:lastRenderedPageBreak/>
              <w:t>Шоссейная с. Первомайское протяженностью 1,470 км на общую сумму – 10 847,18 тыс. рублей, в том числе КБ- 10 304,82 тыс. рублей, МБ – 542,35 тыс. рублей;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>пяти участков автомобильной дороги «Ипатово- Советское Руно» - протяженностью 9,805 км на общую сумму – 215 525,75 тыс. рублей, в том числе КБ- 204 749,46 тыс. рублей, МБ – 10 776,29 тыс. рублей;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 xml:space="preserve">двух участков автомобильной дороги Подъезд к пос. </w:t>
            </w:r>
            <w:proofErr w:type="spellStart"/>
            <w:r w:rsidRPr="00847FEC">
              <w:rPr>
                <w:rFonts w:ascii="Times New Roman" w:hAnsi="Times New Roman"/>
                <w:sz w:val="28"/>
                <w:szCs w:val="28"/>
              </w:rPr>
              <w:t>Правокугультинский</w:t>
            </w:r>
            <w:proofErr w:type="spellEnd"/>
            <w:r w:rsidRPr="00847FEC">
              <w:rPr>
                <w:rFonts w:ascii="Times New Roman" w:hAnsi="Times New Roman"/>
                <w:sz w:val="28"/>
                <w:szCs w:val="28"/>
              </w:rPr>
              <w:t xml:space="preserve"> от автомобильной дороги «Преградное-Тахта-Ипатово» протяженностью 4,286 км на общую сумму – 79 328,60 тыс. рублей, в том числе КБ- 75 362,17 тыс. рублей, МБ – 3 966,43 тыс. рублей;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 xml:space="preserve">участка автомобильной дороги Подъезд к пос. Залесный от автомобильной дороги «Подъезд к пос. </w:t>
            </w:r>
            <w:proofErr w:type="spellStart"/>
            <w:r w:rsidRPr="00847FEC">
              <w:rPr>
                <w:rFonts w:ascii="Times New Roman" w:hAnsi="Times New Roman"/>
                <w:sz w:val="28"/>
                <w:szCs w:val="28"/>
              </w:rPr>
              <w:t>Правокугультинский</w:t>
            </w:r>
            <w:proofErr w:type="spellEnd"/>
            <w:r w:rsidRPr="00847FEC">
              <w:rPr>
                <w:rFonts w:ascii="Times New Roman" w:hAnsi="Times New Roman"/>
                <w:sz w:val="28"/>
                <w:szCs w:val="28"/>
              </w:rPr>
              <w:t xml:space="preserve"> от автомобильной дороги «Преградное-Тахта-Ипатово» протяженностью 1,592 км на общую сумму – 29 633,83 тыс. рублей, в том числе КБ- 28 152,14 тыс. рублей, МБ – 1481,69 тыс. рублей;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 xml:space="preserve">автомобильной дороги по ул. Кирова в с. </w:t>
            </w:r>
            <w:proofErr w:type="spellStart"/>
            <w:r w:rsidRPr="00847FEC">
              <w:rPr>
                <w:rFonts w:ascii="Times New Roman" w:hAnsi="Times New Roman"/>
                <w:sz w:val="28"/>
                <w:szCs w:val="28"/>
              </w:rPr>
              <w:t>Кевсала</w:t>
            </w:r>
            <w:proofErr w:type="spellEnd"/>
            <w:r w:rsidRPr="00847FEC">
              <w:rPr>
                <w:rFonts w:ascii="Times New Roman" w:hAnsi="Times New Roman"/>
                <w:sz w:val="28"/>
                <w:szCs w:val="28"/>
              </w:rPr>
              <w:t xml:space="preserve"> – протяженностью 1,490 км на общую сумму – 17 468,53 тыс. рублей, в том числе КБ – 16 595,10 тыс. рублей, МБ – 873,43 тыс. рублей;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 xml:space="preserve">автомобильной дороги Подъезд к селу Лиман от автомобильной дороги «Ипатово-Советское Руно» и участка автомобильной дороги общего пользования местного значения по пер. 60 лет ВЛКСМ (от ул. Ленина до ул. Школьной) села Лиман протяженностью - </w:t>
            </w:r>
            <w:proofErr w:type="gramStart"/>
            <w:r w:rsidRPr="00847FEC">
              <w:rPr>
                <w:rFonts w:ascii="Times New Roman" w:hAnsi="Times New Roman"/>
                <w:sz w:val="28"/>
                <w:szCs w:val="28"/>
              </w:rPr>
              <w:t>3,558  км</w:t>
            </w:r>
            <w:proofErr w:type="gramEnd"/>
            <w:r w:rsidRPr="00847FEC">
              <w:rPr>
                <w:rFonts w:ascii="Times New Roman" w:hAnsi="Times New Roman"/>
                <w:sz w:val="28"/>
                <w:szCs w:val="28"/>
              </w:rPr>
              <w:t xml:space="preserve"> на общую сумму – 62 007,38 тыс. рублей, в том числе КБ – 58 907,01 тыс. рублей, МБ – 3 100,37 тыс. рублей;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>автомобильных дорог г. Ипатово: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>ул. Циолковского протяженностью - 0,300 км на общую сумму – 4 584,64 тыс. рублей, в том числе КБ – 4 355,41 тыс. рублей, МБ – 229,23 тыс. рублей;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>«Ипатово- Яшалта», проходящей по ул. Советская протяженностью – 1,829 км на общую сумму – 46 978,73 тыс. рублей, в том числе КБ – 44 629,79 тыс. рублей, МБ – 2 348,94 тыс. рублей.</w:t>
            </w:r>
          </w:p>
          <w:p w:rsidR="00847FEC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>А также в рамках реализации государственной программы Ставропольского края «Развитие транспортной системы» выполнен ремонт автомобильной дороги по ул. Школьная пос. Большевик –дорога в школу протяженностью - 0,284 км на общую сумму 7 264,91 тыс. рублей, в том числе КБ- 6 901,66 тыс. рублей, МБ – 363,25 тыс. рублей.</w:t>
            </w:r>
          </w:p>
          <w:p w:rsidR="00C20F26" w:rsidRPr="00847FEC" w:rsidRDefault="00847FEC" w:rsidP="00847F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847FEC">
              <w:rPr>
                <w:rFonts w:ascii="Times New Roman" w:hAnsi="Times New Roman"/>
                <w:sz w:val="28"/>
                <w:szCs w:val="28"/>
              </w:rPr>
              <w:t xml:space="preserve">По мероприятию капитальный ремонт (ремонт) объектов транспортной инфраструктуры произведена оплата услуг государственной экспертизы в сфере строительства по инженерным изысканиям на реконструкцию моста по ул. Торговая в с. </w:t>
            </w:r>
            <w:proofErr w:type="spellStart"/>
            <w:r w:rsidRPr="00847FEC">
              <w:rPr>
                <w:rFonts w:ascii="Times New Roman" w:hAnsi="Times New Roman"/>
                <w:sz w:val="28"/>
                <w:szCs w:val="28"/>
              </w:rPr>
              <w:t>Кевсала</w:t>
            </w:r>
            <w:proofErr w:type="spellEnd"/>
            <w:r w:rsidRPr="00847FEC">
              <w:rPr>
                <w:rFonts w:ascii="Times New Roman" w:hAnsi="Times New Roman"/>
                <w:sz w:val="28"/>
                <w:szCs w:val="28"/>
              </w:rPr>
              <w:t xml:space="preserve"> на сумму</w:t>
            </w:r>
            <w:r w:rsidRPr="00847FEC"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  <w:r w:rsidRPr="00847FEC">
              <w:rPr>
                <w:rFonts w:ascii="Times New Roman" w:hAnsi="Times New Roman"/>
                <w:sz w:val="28"/>
                <w:szCs w:val="28"/>
              </w:rPr>
              <w:t>3356,69 тыс. рублей.</w:t>
            </w:r>
          </w:p>
        </w:tc>
      </w:tr>
      <w:tr w:rsidR="00AE1F67" w:rsidRPr="001821FB" w:rsidTr="0067427E">
        <w:trPr>
          <w:gridBefore w:val="1"/>
          <w:wBefore w:w="6" w:type="dxa"/>
        </w:trPr>
        <w:tc>
          <w:tcPr>
            <w:tcW w:w="9319" w:type="dxa"/>
          </w:tcPr>
          <w:p w:rsidR="00AE1F67" w:rsidRPr="00F2446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46B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дорожно- транспортных происшествий на те</w:t>
            </w:r>
            <w:r w:rsidR="00162037">
              <w:rPr>
                <w:rFonts w:ascii="Times New Roman" w:hAnsi="Times New Roman"/>
                <w:sz w:val="28"/>
                <w:szCs w:val="28"/>
              </w:rPr>
              <w:t>рритории Ипатовского округа из-</w:t>
            </w:r>
            <w:r w:rsidRPr="00F2446B">
              <w:rPr>
                <w:rFonts w:ascii="Times New Roman" w:hAnsi="Times New Roman"/>
                <w:sz w:val="28"/>
                <w:szCs w:val="28"/>
              </w:rPr>
              <w:t>за сопутствующих условий, единиц</w:t>
            </w:r>
          </w:p>
        </w:tc>
        <w:tc>
          <w:tcPr>
            <w:tcW w:w="4109" w:type="dxa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</w:t>
            </w:r>
            <w:r w:rsidR="0063311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AE1F67" w:rsidRPr="004D5EFE" w:rsidRDefault="00633114" w:rsidP="0016203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33114">
              <w:rPr>
                <w:rFonts w:ascii="Times New Roman" w:hAnsi="Times New Roman"/>
                <w:sz w:val="28"/>
                <w:szCs w:val="28"/>
              </w:rPr>
              <w:t>1</w:t>
            </w:r>
            <w:r w:rsidR="0016203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  <w:vAlign w:val="center"/>
          </w:tcPr>
          <w:p w:rsidR="00C20F26" w:rsidRPr="00633114" w:rsidRDefault="00C20F26" w:rsidP="00F244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114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633114" w:rsidRPr="00633114">
              <w:rPr>
                <w:rFonts w:ascii="Times New Roman" w:hAnsi="Times New Roman"/>
                <w:sz w:val="28"/>
                <w:szCs w:val="28"/>
              </w:rPr>
              <w:t>4</w:t>
            </w:r>
            <w:r w:rsidRPr="00633114">
              <w:rPr>
                <w:rFonts w:ascii="Times New Roman" w:hAnsi="Times New Roman"/>
                <w:sz w:val="28"/>
                <w:szCs w:val="28"/>
              </w:rPr>
              <w:t xml:space="preserve"> году достигнуто, количество дорожно- транспортных происшествий на те</w:t>
            </w:r>
            <w:r w:rsidR="00633114" w:rsidRPr="00633114">
              <w:rPr>
                <w:rFonts w:ascii="Times New Roman" w:hAnsi="Times New Roman"/>
                <w:sz w:val="28"/>
                <w:szCs w:val="28"/>
              </w:rPr>
              <w:t>рритории Ипатовского округа из-</w:t>
            </w:r>
            <w:r w:rsidRPr="00633114">
              <w:rPr>
                <w:rFonts w:ascii="Times New Roman" w:hAnsi="Times New Roman"/>
                <w:sz w:val="28"/>
                <w:szCs w:val="28"/>
              </w:rPr>
              <w:t>за сопутствующих условий по итогам 202</w:t>
            </w:r>
            <w:r w:rsidR="00633114" w:rsidRPr="00633114">
              <w:rPr>
                <w:rFonts w:ascii="Times New Roman" w:hAnsi="Times New Roman"/>
                <w:sz w:val="28"/>
                <w:szCs w:val="28"/>
              </w:rPr>
              <w:t>4</w:t>
            </w:r>
            <w:r w:rsidRPr="00633114">
              <w:rPr>
                <w:rFonts w:ascii="Times New Roman" w:hAnsi="Times New Roman"/>
                <w:sz w:val="28"/>
                <w:szCs w:val="28"/>
              </w:rPr>
              <w:t xml:space="preserve"> года составил</w:t>
            </w:r>
            <w:r w:rsidR="00F2446B" w:rsidRPr="00633114">
              <w:rPr>
                <w:rFonts w:ascii="Times New Roman" w:hAnsi="Times New Roman"/>
                <w:sz w:val="28"/>
                <w:szCs w:val="28"/>
              </w:rPr>
              <w:t>о</w:t>
            </w:r>
            <w:r w:rsidRPr="006331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3114" w:rsidRPr="00633114">
              <w:rPr>
                <w:rFonts w:ascii="Times New Roman" w:hAnsi="Times New Roman"/>
                <w:sz w:val="28"/>
                <w:szCs w:val="28"/>
              </w:rPr>
              <w:t>11</w:t>
            </w:r>
            <w:r w:rsidRPr="00633114">
              <w:rPr>
                <w:rFonts w:ascii="Times New Roman" w:hAnsi="Times New Roman"/>
                <w:sz w:val="28"/>
                <w:szCs w:val="28"/>
              </w:rPr>
              <w:t xml:space="preserve"> единиц.</w:t>
            </w:r>
          </w:p>
          <w:p w:rsidR="00015579" w:rsidRPr="00633114" w:rsidRDefault="00633114" w:rsidP="0001557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114">
              <w:rPr>
                <w:rFonts w:ascii="Times New Roman" w:hAnsi="Times New Roman"/>
                <w:sz w:val="28"/>
                <w:szCs w:val="28"/>
              </w:rPr>
              <w:t>Совместно с ОГИБДД ОМВД России «</w:t>
            </w:r>
            <w:proofErr w:type="spellStart"/>
            <w:r w:rsidRPr="00633114">
              <w:rPr>
                <w:rFonts w:ascii="Times New Roman" w:hAnsi="Times New Roman"/>
                <w:sz w:val="28"/>
                <w:szCs w:val="28"/>
              </w:rPr>
              <w:t>Ипатовский</w:t>
            </w:r>
            <w:proofErr w:type="spellEnd"/>
            <w:r w:rsidRPr="00633114">
              <w:rPr>
                <w:rFonts w:ascii="Times New Roman" w:hAnsi="Times New Roman"/>
                <w:sz w:val="28"/>
                <w:szCs w:val="28"/>
              </w:rPr>
              <w:t>» проведены профилактические работы с участниками дорожного движения по предупреждению нарушений порядка дорожного движения, в частности на железнодорожных переездах автомобильных дорог водителям раздавались листовки с правилами дорожного движения на переездах.</w:t>
            </w:r>
            <w:r w:rsidR="00015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3114">
              <w:rPr>
                <w:rFonts w:ascii="Times New Roman" w:eastAsiaTheme="minorEastAsia" w:hAnsi="Times New Roman"/>
                <w:sz w:val="28"/>
                <w:szCs w:val="28"/>
              </w:rPr>
              <w:t xml:space="preserve">Изготовлено 51 информационных </w:t>
            </w:r>
            <w:r w:rsidRPr="00633114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материалов, которые размещены на сайте администрации округа.</w:t>
            </w:r>
            <w:r w:rsidR="00015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5579" w:rsidRPr="00015579">
              <w:rPr>
                <w:rFonts w:ascii="Times New Roman" w:hAnsi="Times New Roman"/>
                <w:sz w:val="28"/>
                <w:szCs w:val="28"/>
              </w:rPr>
              <w:t>Изготовлена смета на ремонт автомобильной дороги.</w:t>
            </w:r>
            <w:r w:rsidR="00015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5579" w:rsidRPr="00015579">
              <w:rPr>
                <w:rFonts w:ascii="Times New Roman" w:hAnsi="Times New Roman"/>
                <w:sz w:val="28"/>
                <w:szCs w:val="28"/>
              </w:rPr>
              <w:t>Заменено или установлено 72 дорожных знаков.</w:t>
            </w:r>
            <w:r w:rsidR="00015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5579" w:rsidRPr="00015579">
              <w:rPr>
                <w:rFonts w:ascii="Times New Roman" w:hAnsi="Times New Roman"/>
                <w:sz w:val="28"/>
                <w:szCs w:val="28"/>
              </w:rPr>
              <w:t xml:space="preserve">Выполнено содержание 7 светофорных объектов в </w:t>
            </w:r>
            <w:proofErr w:type="spellStart"/>
            <w:r w:rsidR="00015579" w:rsidRPr="00015579">
              <w:rPr>
                <w:rFonts w:ascii="Times New Roman" w:hAnsi="Times New Roman"/>
                <w:sz w:val="28"/>
                <w:szCs w:val="28"/>
              </w:rPr>
              <w:t>г.Ипатово</w:t>
            </w:r>
            <w:proofErr w:type="spellEnd"/>
            <w:r w:rsidR="00015579" w:rsidRPr="00015579">
              <w:rPr>
                <w:rFonts w:ascii="Times New Roman" w:hAnsi="Times New Roman"/>
                <w:sz w:val="28"/>
                <w:szCs w:val="28"/>
              </w:rPr>
              <w:t>.</w:t>
            </w:r>
            <w:r w:rsidR="00015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5579" w:rsidRPr="00015579">
              <w:rPr>
                <w:rFonts w:ascii="Times New Roman" w:hAnsi="Times New Roman"/>
                <w:sz w:val="28"/>
                <w:szCs w:val="28"/>
              </w:rPr>
              <w:t>Обустроено 2 пешеходных перехода.</w:t>
            </w:r>
            <w:r w:rsidR="00015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5579" w:rsidRPr="00015579">
              <w:rPr>
                <w:rFonts w:ascii="Times New Roman" w:eastAsiaTheme="minorEastAsia" w:hAnsi="Times New Roman"/>
                <w:sz w:val="28"/>
                <w:szCs w:val="28"/>
              </w:rPr>
              <w:t xml:space="preserve">Изготовлены проекты организации дорожного движения на 119,4 км. автодорог в том числе: с. Октябрьское- 25,138 км, с.Тахта-21,658км. с. </w:t>
            </w:r>
            <w:proofErr w:type="spellStart"/>
            <w:r w:rsidR="00015579" w:rsidRPr="00015579">
              <w:rPr>
                <w:rFonts w:ascii="Times New Roman" w:eastAsiaTheme="minorEastAsia" w:hAnsi="Times New Roman"/>
                <w:sz w:val="28"/>
                <w:szCs w:val="28"/>
              </w:rPr>
              <w:t>Новоандревское</w:t>
            </w:r>
            <w:proofErr w:type="spellEnd"/>
            <w:r w:rsidR="00015579" w:rsidRPr="00015579">
              <w:rPr>
                <w:rFonts w:ascii="Times New Roman" w:eastAsiaTheme="minorEastAsia" w:hAnsi="Times New Roman"/>
                <w:sz w:val="28"/>
                <w:szCs w:val="28"/>
              </w:rPr>
              <w:t xml:space="preserve">- 5,180 км, с. Лиман -17,532 км, пос. Советское </w:t>
            </w:r>
            <w:r w:rsidR="00015579" w:rsidRPr="00015579">
              <w:rPr>
                <w:rFonts w:ascii="Times New Roman" w:eastAsiaTheme="minorEastAsia" w:hAnsi="Times New Roman"/>
                <w:vanish/>
                <w:sz w:val="28"/>
                <w:szCs w:val="28"/>
              </w:rPr>
              <w:t>уно- 13,98 км</w:t>
            </w:r>
            <w:r w:rsidR="00015579" w:rsidRPr="00015579">
              <w:rPr>
                <w:rFonts w:ascii="Times New Roman" w:eastAsiaTheme="minorEastAsia" w:hAnsi="Times New Roman"/>
                <w:sz w:val="28"/>
                <w:szCs w:val="28"/>
              </w:rPr>
              <w:t>,  подъездные автомобильные дороги к населенным пунктам – 35,131 км.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lastRenderedPageBreak/>
              <w:t>Задача 3.7. Развитие малого и среднего предпринимательства</w:t>
            </w:r>
          </w:p>
        </w:tc>
      </w:tr>
      <w:tr w:rsidR="00AE1F67" w:rsidRPr="005D5E12" w:rsidTr="00375E23">
        <w:trPr>
          <w:gridBefore w:val="1"/>
          <w:wBefore w:w="6" w:type="dxa"/>
        </w:trPr>
        <w:tc>
          <w:tcPr>
            <w:tcW w:w="9319" w:type="dxa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4109" w:type="dxa"/>
          </w:tcPr>
          <w:p w:rsidR="00AE1F67" w:rsidRPr="00680EF0" w:rsidRDefault="0034784E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310,5</w:t>
            </w:r>
          </w:p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AE1F67" w:rsidRPr="005D5E12" w:rsidRDefault="003601DB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601DB">
              <w:rPr>
                <w:rFonts w:ascii="Times New Roman" w:hAnsi="Times New Roman"/>
                <w:sz w:val="28"/>
                <w:szCs w:val="28"/>
              </w:rPr>
              <w:t>588,3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  <w:vAlign w:val="center"/>
          </w:tcPr>
          <w:p w:rsidR="00C20F26" w:rsidRPr="003601D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1DB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3601DB" w:rsidRPr="003601DB">
              <w:rPr>
                <w:rFonts w:ascii="Times New Roman" w:hAnsi="Times New Roman"/>
                <w:sz w:val="28"/>
                <w:szCs w:val="28"/>
              </w:rPr>
              <w:t>4</w:t>
            </w:r>
            <w:r w:rsidRPr="003601DB">
              <w:rPr>
                <w:rFonts w:ascii="Times New Roman" w:hAnsi="Times New Roman"/>
                <w:sz w:val="28"/>
                <w:szCs w:val="28"/>
              </w:rPr>
              <w:t xml:space="preserve"> году достигнуто, число субъектов малого и среднего предпринимательства в расчете на 10 тыс. человек населения составило </w:t>
            </w:r>
            <w:r w:rsidR="003601DB" w:rsidRPr="003601DB">
              <w:rPr>
                <w:rFonts w:ascii="Times New Roman" w:hAnsi="Times New Roman"/>
                <w:sz w:val="28"/>
                <w:szCs w:val="28"/>
              </w:rPr>
              <w:t>588,3</w:t>
            </w:r>
            <w:r w:rsidRPr="003601DB">
              <w:rPr>
                <w:rFonts w:ascii="Times New Roman" w:hAnsi="Times New Roman"/>
                <w:sz w:val="28"/>
                <w:szCs w:val="28"/>
              </w:rPr>
              <w:t xml:space="preserve"> единиц.</w:t>
            </w:r>
          </w:p>
          <w:p w:rsidR="00C20F26" w:rsidRPr="00333CD0" w:rsidRDefault="00333CD0" w:rsidP="00333CD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233">
              <w:rPr>
                <w:rFonts w:ascii="Times New Roman" w:hAnsi="Times New Roman"/>
                <w:bCs/>
                <w:sz w:val="28"/>
                <w:szCs w:val="28"/>
              </w:rPr>
              <w:t xml:space="preserve">На территории Ипатовского округа по данным органов статистики на 01 января 2025 года </w:t>
            </w:r>
            <w:r w:rsidRPr="00660233">
              <w:rPr>
                <w:rFonts w:ascii="Times New Roman" w:hAnsi="Times New Roman"/>
                <w:sz w:val="28"/>
                <w:szCs w:val="28"/>
              </w:rPr>
              <w:t xml:space="preserve">осуществляли </w:t>
            </w:r>
            <w:r w:rsidRPr="00025187">
              <w:rPr>
                <w:rFonts w:ascii="Times New Roman" w:hAnsi="Times New Roman"/>
                <w:sz w:val="28"/>
                <w:szCs w:val="28"/>
              </w:rPr>
              <w:t>деятельность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5187">
              <w:rPr>
                <w:rFonts w:ascii="Times New Roman" w:hAnsi="Times New Roman"/>
                <w:sz w:val="28"/>
                <w:szCs w:val="28"/>
              </w:rPr>
              <w:t>696 субъектов всех форм собственности, или 103,8 процента к уровню 2023</w:t>
            </w:r>
            <w:r w:rsidRPr="00660233">
              <w:rPr>
                <w:rFonts w:ascii="Times New Roman" w:hAnsi="Times New Roman"/>
                <w:sz w:val="28"/>
                <w:szCs w:val="28"/>
              </w:rPr>
              <w:t xml:space="preserve"> года (</w:t>
            </w:r>
            <w:r>
              <w:rPr>
                <w:rFonts w:ascii="Times New Roman" w:hAnsi="Times New Roman"/>
                <w:sz w:val="28"/>
                <w:szCs w:val="28"/>
              </w:rPr>
              <w:t>1 684</w:t>
            </w:r>
            <w:r w:rsidRPr="00660233">
              <w:rPr>
                <w:rFonts w:ascii="Times New Roman" w:hAnsi="Times New Roman"/>
                <w:sz w:val="28"/>
                <w:szCs w:val="28"/>
              </w:rPr>
              <w:t xml:space="preserve"> субъектов), в том числе 307 юридических лица (95,0 процентов к уровню 2023 года), 1 215 индивидуальных предпринимателя (104,0 процента к уровню 2023 года), 164 глав крестьянских (фермерских) хозяйств (104,0 процента к уровню 2023 года), 10 адвокатов и нотариусов (83,3 процента к уровню 2023 года)</w:t>
            </w:r>
            <w:r w:rsidRPr="0066023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AE1F67" w:rsidRPr="001821FB" w:rsidTr="00EB0721">
        <w:trPr>
          <w:gridBefore w:val="1"/>
          <w:wBefore w:w="6" w:type="dxa"/>
        </w:trPr>
        <w:tc>
          <w:tcPr>
            <w:tcW w:w="9319" w:type="dxa"/>
            <w:vAlign w:val="center"/>
          </w:tcPr>
          <w:p w:rsidR="00AE1F67" w:rsidRPr="00283C14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</w:t>
            </w:r>
          </w:p>
        </w:tc>
        <w:tc>
          <w:tcPr>
            <w:tcW w:w="4109" w:type="dxa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23,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AE1F67" w:rsidRPr="00615F85" w:rsidRDefault="00615F85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F85">
              <w:rPr>
                <w:rFonts w:ascii="Times New Roman" w:hAnsi="Times New Roman"/>
                <w:sz w:val="28"/>
                <w:szCs w:val="28"/>
              </w:rPr>
              <w:t>23,3</w:t>
            </w:r>
          </w:p>
          <w:p w:rsidR="00AE1F67" w:rsidRPr="004D5EFE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15F85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  <w:vAlign w:val="center"/>
          </w:tcPr>
          <w:p w:rsidR="00C20F26" w:rsidRPr="00615F85" w:rsidRDefault="00C20F26" w:rsidP="00615F8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F85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333CD0" w:rsidRPr="00615F85">
              <w:rPr>
                <w:rFonts w:ascii="Times New Roman" w:hAnsi="Times New Roman"/>
                <w:sz w:val="28"/>
                <w:szCs w:val="28"/>
              </w:rPr>
              <w:t>4</w:t>
            </w:r>
            <w:r w:rsidRPr="00615F85">
              <w:rPr>
                <w:rFonts w:ascii="Times New Roman" w:hAnsi="Times New Roman"/>
                <w:sz w:val="28"/>
                <w:szCs w:val="28"/>
              </w:rPr>
              <w:t xml:space="preserve"> году достигнуто, по оценке,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 сложилась на уровне </w:t>
            </w:r>
            <w:r w:rsidR="00615F85" w:rsidRPr="00615F85">
              <w:rPr>
                <w:rFonts w:ascii="Times New Roman" w:hAnsi="Times New Roman"/>
                <w:sz w:val="28"/>
                <w:szCs w:val="28"/>
              </w:rPr>
              <w:t>23,3</w:t>
            </w:r>
            <w:r w:rsidRPr="00615F85">
              <w:rPr>
                <w:rFonts w:ascii="Times New Roman" w:hAnsi="Times New Roman"/>
                <w:sz w:val="28"/>
                <w:szCs w:val="28"/>
              </w:rPr>
              <w:t xml:space="preserve"> процента.</w:t>
            </w:r>
          </w:p>
        </w:tc>
      </w:tr>
      <w:tr w:rsidR="00AE1F67" w:rsidRPr="008B5BF4" w:rsidTr="007B3A50">
        <w:trPr>
          <w:gridBefore w:val="1"/>
          <w:wBefore w:w="6" w:type="dxa"/>
        </w:trPr>
        <w:tc>
          <w:tcPr>
            <w:tcW w:w="9319" w:type="dxa"/>
          </w:tcPr>
          <w:p w:rsidR="00AE1F67" w:rsidRPr="00283C14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Численность занятых в сфере малого и среднего предпринимательства, включая индивидуальных предпринимателей, единиц</w:t>
            </w:r>
          </w:p>
        </w:tc>
        <w:tc>
          <w:tcPr>
            <w:tcW w:w="4109" w:type="dxa"/>
          </w:tcPr>
          <w:p w:rsidR="00AE1F67" w:rsidRPr="00283C14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7649</w:t>
            </w:r>
          </w:p>
          <w:p w:rsidR="00AE1F67" w:rsidRPr="00283C14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AE1F67" w:rsidRPr="00333CD0" w:rsidRDefault="00333CD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CD0">
              <w:rPr>
                <w:rFonts w:ascii="Times New Roman" w:hAnsi="Times New Roman"/>
                <w:sz w:val="28"/>
                <w:szCs w:val="28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</w:rPr>
              <w:t>49</w:t>
            </w:r>
            <w:r w:rsidR="00AE1F67" w:rsidRPr="00333CD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E1F67" w:rsidRPr="008B5BF4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33CD0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  <w:vAlign w:val="center"/>
          </w:tcPr>
          <w:p w:rsidR="00C20F26" w:rsidRDefault="00C20F26" w:rsidP="00333CD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CD0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333CD0" w:rsidRPr="00333CD0">
              <w:rPr>
                <w:rFonts w:ascii="Times New Roman" w:hAnsi="Times New Roman"/>
                <w:sz w:val="28"/>
                <w:szCs w:val="28"/>
              </w:rPr>
              <w:t>4</w:t>
            </w:r>
            <w:r w:rsidRPr="00333CD0">
              <w:rPr>
                <w:rFonts w:ascii="Times New Roman" w:hAnsi="Times New Roman"/>
                <w:sz w:val="28"/>
                <w:szCs w:val="28"/>
              </w:rPr>
              <w:t xml:space="preserve"> году достигнуто, оценочно, численность занятых в сфере малого и среднего предпринимательства, включая индивидуальных предпринимателей по итогам отчетного года составил </w:t>
            </w:r>
            <w:r w:rsidR="00333CD0" w:rsidRPr="00333CD0">
              <w:rPr>
                <w:rFonts w:ascii="Times New Roman" w:hAnsi="Times New Roman"/>
                <w:sz w:val="28"/>
                <w:szCs w:val="28"/>
              </w:rPr>
              <w:t>76</w:t>
            </w:r>
            <w:r w:rsidR="00333CD0">
              <w:rPr>
                <w:rFonts w:ascii="Times New Roman" w:hAnsi="Times New Roman"/>
                <w:sz w:val="28"/>
                <w:szCs w:val="28"/>
              </w:rPr>
              <w:t>49</w:t>
            </w:r>
            <w:r w:rsidRPr="00333CD0">
              <w:rPr>
                <w:rFonts w:ascii="Times New Roman" w:hAnsi="Times New Roman"/>
                <w:sz w:val="28"/>
                <w:szCs w:val="28"/>
              </w:rPr>
              <w:t xml:space="preserve"> единиц.</w:t>
            </w:r>
          </w:p>
          <w:p w:rsidR="00333CD0" w:rsidRPr="00283C14" w:rsidRDefault="00333CD0" w:rsidP="008C50B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C81">
              <w:rPr>
                <w:rFonts w:ascii="Times New Roman" w:hAnsi="Times New Roman"/>
                <w:sz w:val="28"/>
                <w:szCs w:val="28"/>
              </w:rPr>
              <w:t xml:space="preserve">По результатам проведенной работы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администрацией Ипатовского округа </w:t>
            </w:r>
            <w:r w:rsidRPr="00781C81">
              <w:rPr>
                <w:rFonts w:ascii="Times New Roman" w:hAnsi="Times New Roman"/>
                <w:sz w:val="28"/>
                <w:szCs w:val="28"/>
              </w:rPr>
              <w:t>в части оказания содействия в получении финансовой поддержки, оказываемой специализированными организациями (учреждениями) и вышестоящими органами исполнительной власти финансовой государств</w:t>
            </w:r>
            <w:bookmarkStart w:id="0" w:name="_GoBack"/>
            <w:bookmarkEnd w:id="0"/>
            <w:r w:rsidRPr="00781C81">
              <w:rPr>
                <w:rFonts w:ascii="Times New Roman" w:hAnsi="Times New Roman"/>
                <w:sz w:val="28"/>
                <w:szCs w:val="28"/>
              </w:rPr>
              <w:t xml:space="preserve">енной поддержкой воспользовались </w:t>
            </w:r>
            <w:r w:rsidRPr="00510B4C">
              <w:rPr>
                <w:rFonts w:ascii="Times New Roman" w:hAnsi="Times New Roman"/>
                <w:sz w:val="28"/>
                <w:szCs w:val="28"/>
              </w:rPr>
              <w:t>124 представителя бизнес - сообщества Ипатовского округа, в том числе 54 субъект</w:t>
            </w:r>
            <w:r w:rsidR="008C50BD">
              <w:rPr>
                <w:rFonts w:ascii="Times New Roman" w:hAnsi="Times New Roman"/>
                <w:sz w:val="28"/>
                <w:szCs w:val="28"/>
              </w:rPr>
              <w:t>а</w:t>
            </w:r>
            <w:r w:rsidRPr="00510B4C">
              <w:rPr>
                <w:rFonts w:ascii="Times New Roman" w:hAnsi="Times New Roman"/>
                <w:sz w:val="28"/>
                <w:szCs w:val="28"/>
              </w:rPr>
              <w:t xml:space="preserve"> предпринимательства получили финансовую поддержку в размере 795,6 миллионов рублей (в 2023 году - 57 субъектов на общую сумму 437,6 миллионов рублей).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3.8. Повышение качества предоставления услуг населению</w:t>
            </w:r>
          </w:p>
        </w:tc>
      </w:tr>
      <w:tr w:rsidR="00AE1F67" w:rsidRPr="001821FB" w:rsidTr="00F93764">
        <w:trPr>
          <w:gridBefore w:val="1"/>
          <w:wBefore w:w="6" w:type="dxa"/>
        </w:trPr>
        <w:tc>
          <w:tcPr>
            <w:tcW w:w="9319" w:type="dxa"/>
            <w:vAlign w:val="center"/>
          </w:tcPr>
          <w:p w:rsidR="00AE1F67" w:rsidRPr="001821FB" w:rsidRDefault="00AE1F67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 xml:space="preserve">Доля граждан, удовлетворенных качеством и доступностью государственных и муниципальных услуг, предоставляемых органами </w:t>
            </w:r>
            <w:r w:rsidRPr="001821FB">
              <w:rPr>
                <w:rFonts w:ascii="Times New Roman" w:hAnsi="Times New Roman"/>
                <w:sz w:val="28"/>
                <w:szCs w:val="28"/>
              </w:rPr>
              <w:lastRenderedPageBreak/>
              <w:t>местного самоуправления Ипатовского городского округа Ставропольского края, от общего числа опрошенных заявителей, процентов</w:t>
            </w:r>
          </w:p>
        </w:tc>
        <w:tc>
          <w:tcPr>
            <w:tcW w:w="4109" w:type="dxa"/>
          </w:tcPr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90,0</w:t>
            </w:r>
          </w:p>
          <w:p w:rsidR="00AE1F67" w:rsidRPr="00680EF0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AE1F67" w:rsidRPr="004D5EFE" w:rsidRDefault="00AE1F6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52838"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3"/>
            <w:vAlign w:val="center"/>
          </w:tcPr>
          <w:p w:rsidR="00C20F26" w:rsidRPr="00B52838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838">
              <w:rPr>
                <w:rFonts w:ascii="Times New Roman" w:hAnsi="Times New Roman"/>
                <w:sz w:val="28"/>
                <w:szCs w:val="28"/>
              </w:rPr>
              <w:lastRenderedPageBreak/>
              <w:t>Плановое значение показателя Стратегии</w:t>
            </w:r>
            <w:r w:rsidR="00B52838" w:rsidRPr="00B528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2838">
              <w:rPr>
                <w:rFonts w:ascii="Times New Roman" w:hAnsi="Times New Roman"/>
                <w:sz w:val="28"/>
                <w:szCs w:val="28"/>
              </w:rPr>
              <w:t>в 202</w:t>
            </w:r>
            <w:r w:rsidR="008B5BF4">
              <w:rPr>
                <w:rFonts w:ascii="Times New Roman" w:hAnsi="Times New Roman"/>
                <w:sz w:val="28"/>
                <w:szCs w:val="28"/>
              </w:rPr>
              <w:t>4</w:t>
            </w:r>
            <w:r w:rsidRPr="00B52838">
              <w:rPr>
                <w:rFonts w:ascii="Times New Roman" w:hAnsi="Times New Roman"/>
                <w:sz w:val="28"/>
                <w:szCs w:val="28"/>
              </w:rPr>
              <w:t xml:space="preserve"> году достигнуто, доля граждан, удовлетворенных качеством и доступностью государственных и муниципальных услуг, предоставляемых органами местного самоуправления Ипатовского </w:t>
            </w:r>
            <w:r w:rsidR="00B52838" w:rsidRPr="00B52838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Pr="00B52838">
              <w:rPr>
                <w:rFonts w:ascii="Times New Roman" w:hAnsi="Times New Roman"/>
                <w:sz w:val="28"/>
                <w:szCs w:val="28"/>
              </w:rPr>
              <w:t>, от общего числа опрошенных заявителей составила 90,0 процентов.</w:t>
            </w:r>
          </w:p>
          <w:p w:rsidR="00C20F26" w:rsidRPr="001821FB" w:rsidRDefault="00B52838" w:rsidP="00251A7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838">
              <w:rPr>
                <w:rFonts w:ascii="Times New Roman" w:hAnsi="Times New Roman"/>
                <w:sz w:val="28"/>
                <w:szCs w:val="28"/>
              </w:rPr>
              <w:t xml:space="preserve">Мониторинг качества и доступности муниципальных услуг в </w:t>
            </w:r>
            <w:proofErr w:type="spellStart"/>
            <w:r w:rsidRPr="00B52838">
              <w:rPr>
                <w:rFonts w:ascii="Times New Roman" w:hAnsi="Times New Roman"/>
                <w:sz w:val="28"/>
                <w:szCs w:val="28"/>
              </w:rPr>
              <w:t>Ипатовском</w:t>
            </w:r>
            <w:proofErr w:type="spellEnd"/>
            <w:r w:rsidRPr="00B52838">
              <w:rPr>
                <w:rFonts w:ascii="Times New Roman" w:hAnsi="Times New Roman"/>
                <w:sz w:val="28"/>
                <w:szCs w:val="28"/>
              </w:rPr>
              <w:t xml:space="preserve"> округе, осуществляется в целях повышения качества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оказания</w:t>
            </w:r>
            <w:r w:rsidRPr="00B52838">
              <w:rPr>
                <w:rFonts w:ascii="Times New Roman" w:hAnsi="Times New Roman"/>
                <w:sz w:val="28"/>
                <w:szCs w:val="28"/>
              </w:rPr>
              <w:t xml:space="preserve"> муниципальных услуг, предоставляемых юридическим и физическим лицам на территории Ипатовского округа. Мониторинг осуществляется в отношении  муниципальных услуг, предоставляемых отделами аппарата, отделами (управлениями) со статусом юридического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лица администрации Ипатовского </w:t>
            </w:r>
            <w:r w:rsidRPr="00B52838">
              <w:rPr>
                <w:rFonts w:ascii="Times New Roman" w:hAnsi="Times New Roman"/>
                <w:sz w:val="28"/>
                <w:szCs w:val="28"/>
              </w:rPr>
              <w:t xml:space="preserve">округа в соответствии с административными регламентами.  По результатам </w:t>
            </w:r>
            <w:r w:rsidR="008B5BF4">
              <w:rPr>
                <w:rFonts w:ascii="Times New Roman" w:hAnsi="Times New Roman"/>
                <w:sz w:val="28"/>
                <w:szCs w:val="28"/>
              </w:rPr>
              <w:t>проведенного мониторинга за 2024</w:t>
            </w:r>
            <w:r w:rsidRPr="00B52838">
              <w:rPr>
                <w:rFonts w:ascii="Times New Roman" w:hAnsi="Times New Roman"/>
                <w:sz w:val="28"/>
                <w:szCs w:val="28"/>
              </w:rPr>
              <w:t xml:space="preserve"> год установлено, что </w:t>
            </w:r>
            <w:r w:rsidRPr="00251A7B">
              <w:rPr>
                <w:rFonts w:ascii="Times New Roman" w:hAnsi="Times New Roman"/>
                <w:sz w:val="28"/>
                <w:szCs w:val="28"/>
              </w:rPr>
              <w:t xml:space="preserve">по 68 видам оказанных муниципальных услуг уровень качества предоставления </w:t>
            </w:r>
            <w:r w:rsidR="00251A7B" w:rsidRPr="00251A7B">
              <w:rPr>
                <w:rFonts w:ascii="Times New Roman" w:hAnsi="Times New Roman"/>
                <w:sz w:val="28"/>
                <w:szCs w:val="28"/>
              </w:rPr>
              <w:t>24</w:t>
            </w:r>
            <w:r w:rsidRPr="00251A7B">
              <w:rPr>
                <w:rFonts w:ascii="Times New Roman" w:hAnsi="Times New Roman"/>
                <w:sz w:val="28"/>
                <w:szCs w:val="28"/>
              </w:rPr>
              <w:t xml:space="preserve"> услуг – «хороший», </w:t>
            </w:r>
            <w:r w:rsidR="00251A7B" w:rsidRPr="00251A7B">
              <w:rPr>
                <w:rFonts w:ascii="Times New Roman" w:hAnsi="Times New Roman"/>
                <w:sz w:val="28"/>
                <w:szCs w:val="28"/>
              </w:rPr>
              <w:t>44</w:t>
            </w:r>
            <w:r w:rsidRPr="00251A7B">
              <w:rPr>
                <w:rFonts w:ascii="Times New Roman" w:hAnsi="Times New Roman"/>
                <w:sz w:val="28"/>
                <w:szCs w:val="28"/>
              </w:rPr>
              <w:t xml:space="preserve">  – «удовлетворительный».</w:t>
            </w:r>
          </w:p>
        </w:tc>
      </w:tr>
    </w:tbl>
    <w:p w:rsidR="006A696D" w:rsidRPr="001821FB" w:rsidRDefault="006A696D" w:rsidP="006A69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696D" w:rsidRDefault="006A696D" w:rsidP="006A696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30C53">
        <w:rPr>
          <w:rFonts w:ascii="Times New Roman" w:hAnsi="Times New Roman"/>
          <w:sz w:val="20"/>
          <w:szCs w:val="20"/>
        </w:rPr>
        <w:t xml:space="preserve">&lt;*&gt; Далее по тексту используется сокращение – Стратегия, </w:t>
      </w:r>
      <w:proofErr w:type="spellStart"/>
      <w:r w:rsidRPr="00130C53">
        <w:rPr>
          <w:rFonts w:ascii="Times New Roman" w:hAnsi="Times New Roman"/>
          <w:sz w:val="20"/>
          <w:szCs w:val="20"/>
        </w:rPr>
        <w:t>Ипатовский</w:t>
      </w:r>
      <w:proofErr w:type="spellEnd"/>
      <w:r w:rsidRPr="00130C53">
        <w:rPr>
          <w:rFonts w:ascii="Times New Roman" w:hAnsi="Times New Roman"/>
          <w:sz w:val="20"/>
          <w:szCs w:val="20"/>
        </w:rPr>
        <w:t xml:space="preserve"> округ, округ.</w:t>
      </w:r>
    </w:p>
    <w:p w:rsidR="006A696D" w:rsidRPr="001821FB" w:rsidRDefault="006A696D" w:rsidP="00130C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21FB">
        <w:rPr>
          <w:rFonts w:ascii="Times New Roman" w:hAnsi="Times New Roman"/>
          <w:sz w:val="28"/>
          <w:szCs w:val="28"/>
        </w:rPr>
        <w:t>___________________________________________________</w:t>
      </w:r>
    </w:p>
    <w:p w:rsidR="00456820" w:rsidRDefault="00456820"/>
    <w:sectPr w:rsidR="00456820" w:rsidSect="00DA15F7">
      <w:pgSz w:w="16838" w:h="11906" w:orient="landscape"/>
      <w:pgMar w:top="567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696D"/>
    <w:rsid w:val="00015579"/>
    <w:rsid w:val="00023949"/>
    <w:rsid w:val="00036C55"/>
    <w:rsid w:val="00045472"/>
    <w:rsid w:val="00064102"/>
    <w:rsid w:val="00076EE3"/>
    <w:rsid w:val="00091F01"/>
    <w:rsid w:val="000949FD"/>
    <w:rsid w:val="000A6BAE"/>
    <w:rsid w:val="000C2404"/>
    <w:rsid w:val="000C50B0"/>
    <w:rsid w:val="000E30B1"/>
    <w:rsid w:val="000F3DF2"/>
    <w:rsid w:val="00123499"/>
    <w:rsid w:val="00124D00"/>
    <w:rsid w:val="00130C53"/>
    <w:rsid w:val="00136C54"/>
    <w:rsid w:val="00162037"/>
    <w:rsid w:val="001662BF"/>
    <w:rsid w:val="00182236"/>
    <w:rsid w:val="001A194C"/>
    <w:rsid w:val="001D08D4"/>
    <w:rsid w:val="001D4072"/>
    <w:rsid w:val="001E3EC5"/>
    <w:rsid w:val="001F04F1"/>
    <w:rsid w:val="00201005"/>
    <w:rsid w:val="002022B8"/>
    <w:rsid w:val="0021071B"/>
    <w:rsid w:val="00233707"/>
    <w:rsid w:val="00233F58"/>
    <w:rsid w:val="0024751A"/>
    <w:rsid w:val="00251A7B"/>
    <w:rsid w:val="00275EF9"/>
    <w:rsid w:val="00283C14"/>
    <w:rsid w:val="0028552E"/>
    <w:rsid w:val="00295540"/>
    <w:rsid w:val="002C37C7"/>
    <w:rsid w:val="002D34B1"/>
    <w:rsid w:val="002D69A4"/>
    <w:rsid w:val="002E2E46"/>
    <w:rsid w:val="00312894"/>
    <w:rsid w:val="00314551"/>
    <w:rsid w:val="00332D20"/>
    <w:rsid w:val="00333CD0"/>
    <w:rsid w:val="00333CED"/>
    <w:rsid w:val="0034784E"/>
    <w:rsid w:val="003601DB"/>
    <w:rsid w:val="00362D75"/>
    <w:rsid w:val="00376216"/>
    <w:rsid w:val="003B5058"/>
    <w:rsid w:val="003C5AB3"/>
    <w:rsid w:val="003D048A"/>
    <w:rsid w:val="003F73CE"/>
    <w:rsid w:val="00426AD2"/>
    <w:rsid w:val="00443709"/>
    <w:rsid w:val="00456820"/>
    <w:rsid w:val="0048303D"/>
    <w:rsid w:val="004A49CC"/>
    <w:rsid w:val="004C0263"/>
    <w:rsid w:val="004D5EFE"/>
    <w:rsid w:val="004E3E97"/>
    <w:rsid w:val="004F2CF0"/>
    <w:rsid w:val="00505E18"/>
    <w:rsid w:val="00510C78"/>
    <w:rsid w:val="00517A4C"/>
    <w:rsid w:val="005318ED"/>
    <w:rsid w:val="005467A8"/>
    <w:rsid w:val="00551718"/>
    <w:rsid w:val="00553FC7"/>
    <w:rsid w:val="00557310"/>
    <w:rsid w:val="005A5DAC"/>
    <w:rsid w:val="005B12D8"/>
    <w:rsid w:val="005B1FDE"/>
    <w:rsid w:val="005B5B30"/>
    <w:rsid w:val="005D5E12"/>
    <w:rsid w:val="005D71FF"/>
    <w:rsid w:val="006109D6"/>
    <w:rsid w:val="00610BB8"/>
    <w:rsid w:val="00614240"/>
    <w:rsid w:val="00615F85"/>
    <w:rsid w:val="00633114"/>
    <w:rsid w:val="00633C79"/>
    <w:rsid w:val="00646934"/>
    <w:rsid w:val="0066236E"/>
    <w:rsid w:val="006633FE"/>
    <w:rsid w:val="00680EF0"/>
    <w:rsid w:val="00695043"/>
    <w:rsid w:val="006A5F72"/>
    <w:rsid w:val="006A696D"/>
    <w:rsid w:val="006B1F05"/>
    <w:rsid w:val="006C2D8E"/>
    <w:rsid w:val="006C58A3"/>
    <w:rsid w:val="00701019"/>
    <w:rsid w:val="0072052C"/>
    <w:rsid w:val="007266DF"/>
    <w:rsid w:val="00731742"/>
    <w:rsid w:val="0073175B"/>
    <w:rsid w:val="007363B6"/>
    <w:rsid w:val="00750DD8"/>
    <w:rsid w:val="007634F7"/>
    <w:rsid w:val="00766B42"/>
    <w:rsid w:val="00776B30"/>
    <w:rsid w:val="007846C3"/>
    <w:rsid w:val="007B136F"/>
    <w:rsid w:val="0080439F"/>
    <w:rsid w:val="00812958"/>
    <w:rsid w:val="00827943"/>
    <w:rsid w:val="00845219"/>
    <w:rsid w:val="00847FEC"/>
    <w:rsid w:val="008527A3"/>
    <w:rsid w:val="00875453"/>
    <w:rsid w:val="00875785"/>
    <w:rsid w:val="00880B79"/>
    <w:rsid w:val="00885877"/>
    <w:rsid w:val="0089289A"/>
    <w:rsid w:val="008A71A7"/>
    <w:rsid w:val="008B5BF4"/>
    <w:rsid w:val="008C50BD"/>
    <w:rsid w:val="008C6AD9"/>
    <w:rsid w:val="008D38E3"/>
    <w:rsid w:val="008E5D91"/>
    <w:rsid w:val="008F5D37"/>
    <w:rsid w:val="00901127"/>
    <w:rsid w:val="00902A63"/>
    <w:rsid w:val="00906CFF"/>
    <w:rsid w:val="00912082"/>
    <w:rsid w:val="00914B7B"/>
    <w:rsid w:val="0092440B"/>
    <w:rsid w:val="009344CC"/>
    <w:rsid w:val="00935AD1"/>
    <w:rsid w:val="009503FD"/>
    <w:rsid w:val="00960CEF"/>
    <w:rsid w:val="00965FB9"/>
    <w:rsid w:val="00966FC9"/>
    <w:rsid w:val="009673C5"/>
    <w:rsid w:val="00981C3C"/>
    <w:rsid w:val="009B0E62"/>
    <w:rsid w:val="009C0011"/>
    <w:rsid w:val="009C6BD0"/>
    <w:rsid w:val="009D6067"/>
    <w:rsid w:val="00A52213"/>
    <w:rsid w:val="00A55024"/>
    <w:rsid w:val="00A578BD"/>
    <w:rsid w:val="00A579F9"/>
    <w:rsid w:val="00A87DFA"/>
    <w:rsid w:val="00AA19A2"/>
    <w:rsid w:val="00AB3A80"/>
    <w:rsid w:val="00AB5B7E"/>
    <w:rsid w:val="00AC052C"/>
    <w:rsid w:val="00AC390E"/>
    <w:rsid w:val="00AC72B1"/>
    <w:rsid w:val="00AD3BA6"/>
    <w:rsid w:val="00AD6B13"/>
    <w:rsid w:val="00AE1F67"/>
    <w:rsid w:val="00AF6AAA"/>
    <w:rsid w:val="00AF7D75"/>
    <w:rsid w:val="00B041B3"/>
    <w:rsid w:val="00B13A8B"/>
    <w:rsid w:val="00B15201"/>
    <w:rsid w:val="00B16144"/>
    <w:rsid w:val="00B41FB6"/>
    <w:rsid w:val="00B52838"/>
    <w:rsid w:val="00B56E62"/>
    <w:rsid w:val="00B7712D"/>
    <w:rsid w:val="00B77DBE"/>
    <w:rsid w:val="00B86D9D"/>
    <w:rsid w:val="00B94FE0"/>
    <w:rsid w:val="00BB28C4"/>
    <w:rsid w:val="00BC39FE"/>
    <w:rsid w:val="00BC50DD"/>
    <w:rsid w:val="00BD5510"/>
    <w:rsid w:val="00BE60C2"/>
    <w:rsid w:val="00BF1FCD"/>
    <w:rsid w:val="00C00A1C"/>
    <w:rsid w:val="00C00B59"/>
    <w:rsid w:val="00C123AD"/>
    <w:rsid w:val="00C12EE7"/>
    <w:rsid w:val="00C20F26"/>
    <w:rsid w:val="00C21923"/>
    <w:rsid w:val="00C26CCE"/>
    <w:rsid w:val="00C61AF9"/>
    <w:rsid w:val="00C70F37"/>
    <w:rsid w:val="00C90261"/>
    <w:rsid w:val="00CA5D54"/>
    <w:rsid w:val="00CB2596"/>
    <w:rsid w:val="00CB4F79"/>
    <w:rsid w:val="00CB5492"/>
    <w:rsid w:val="00CC4902"/>
    <w:rsid w:val="00CE774E"/>
    <w:rsid w:val="00D14122"/>
    <w:rsid w:val="00D409AA"/>
    <w:rsid w:val="00D456F0"/>
    <w:rsid w:val="00D52758"/>
    <w:rsid w:val="00D64A8E"/>
    <w:rsid w:val="00D679D7"/>
    <w:rsid w:val="00D91903"/>
    <w:rsid w:val="00D96A72"/>
    <w:rsid w:val="00DB34E4"/>
    <w:rsid w:val="00DD51C9"/>
    <w:rsid w:val="00DD760D"/>
    <w:rsid w:val="00E10C97"/>
    <w:rsid w:val="00E3432E"/>
    <w:rsid w:val="00E51A92"/>
    <w:rsid w:val="00E64FAE"/>
    <w:rsid w:val="00E666B5"/>
    <w:rsid w:val="00E66C53"/>
    <w:rsid w:val="00E7145E"/>
    <w:rsid w:val="00E92ECD"/>
    <w:rsid w:val="00E95D41"/>
    <w:rsid w:val="00ED0140"/>
    <w:rsid w:val="00ED23A0"/>
    <w:rsid w:val="00EE1AEC"/>
    <w:rsid w:val="00EF1AB5"/>
    <w:rsid w:val="00EF77BA"/>
    <w:rsid w:val="00F1067A"/>
    <w:rsid w:val="00F110B5"/>
    <w:rsid w:val="00F11FFE"/>
    <w:rsid w:val="00F2446B"/>
    <w:rsid w:val="00F45328"/>
    <w:rsid w:val="00F460E8"/>
    <w:rsid w:val="00F470EC"/>
    <w:rsid w:val="00F56E50"/>
    <w:rsid w:val="00F9460A"/>
    <w:rsid w:val="00FC5E23"/>
    <w:rsid w:val="00FD41CC"/>
    <w:rsid w:val="00FE0E16"/>
    <w:rsid w:val="00FE78CC"/>
    <w:rsid w:val="00FF3D9C"/>
    <w:rsid w:val="00FF5BCB"/>
    <w:rsid w:val="00FF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2BA74D"/>
  <w15:docId w15:val="{DEE6080C-311D-4107-BE5F-06165644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9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10C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E10C97"/>
    <w:rPr>
      <w:rFonts w:ascii="Calibri" w:eastAsia="Calibri" w:hAnsi="Calibri" w:cs="Times New Roman"/>
    </w:rPr>
  </w:style>
  <w:style w:type="paragraph" w:customStyle="1" w:styleId="p4">
    <w:name w:val="p4"/>
    <w:basedOn w:val="a"/>
    <w:qFormat/>
    <w:rsid w:val="003F73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uiPriority w:val="22"/>
    <w:qFormat/>
    <w:rsid w:val="00966FC9"/>
    <w:rPr>
      <w:b/>
      <w:bCs/>
    </w:rPr>
  </w:style>
  <w:style w:type="paragraph" w:styleId="a6">
    <w:name w:val="List Paragraph"/>
    <w:basedOn w:val="a"/>
    <w:uiPriority w:val="34"/>
    <w:qFormat/>
    <w:rsid w:val="00766B4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766B4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766B42"/>
    <w:rPr>
      <w:rFonts w:ascii="Calibri" w:eastAsia="Times New Roman" w:hAnsi="Calibri" w:cs="Times New Roman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D3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3BA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aliases w:val="Обычный (Web)1,Обычный (Web)11,Обычный (Web),Обычный (веб) Знак2 Знак,Обычный (веб) Знак Знак1 Знак,Обычный (веб) Знак1 Знак Знак Знак2,Обычный (веб) Знак Знак Знак Знак Знак2,Обычный (веб) Знак1 Знак Знак Знак Знак Знак"/>
    <w:basedOn w:val="a"/>
    <w:link w:val="aa"/>
    <w:unhideWhenUsed/>
    <w:qFormat/>
    <w:rsid w:val="00A52213"/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бычный (веб) Знак"/>
    <w:aliases w:val="Обычный (Web)1 Знак,Обычный (Web)11 Знак,Обычный (Web) Знак,Обычный (веб) Знак2 Знак Знак,Обычный (веб) Знак Знак1 Знак Знак,Обычный (веб) Знак1 Знак Знак Знак2 Знак,Обычный (веб) Знак Знак Знак Знак Знак2 Знак"/>
    <w:link w:val="a9"/>
    <w:rsid w:val="00A5221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Emphasis"/>
    <w:uiPriority w:val="20"/>
    <w:qFormat/>
    <w:rsid w:val="008F5D37"/>
    <w:rPr>
      <w:i/>
      <w:iCs/>
    </w:rPr>
  </w:style>
  <w:style w:type="character" w:customStyle="1" w:styleId="st">
    <w:name w:val="st"/>
    <w:basedOn w:val="a0"/>
    <w:rsid w:val="008F5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5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B6442-35AA-4635-8D60-9E9AF643A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12</Pages>
  <Words>5111</Words>
  <Characters>29133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Ирина</cp:lastModifiedBy>
  <cp:revision>211</cp:revision>
  <cp:lastPrinted>2025-03-10T16:08:00Z</cp:lastPrinted>
  <dcterms:created xsi:type="dcterms:W3CDTF">2023-03-09T12:02:00Z</dcterms:created>
  <dcterms:modified xsi:type="dcterms:W3CDTF">2025-03-10T16:09:00Z</dcterms:modified>
</cp:coreProperties>
</file>