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31" w:rsidRDefault="00993E4A">
      <w:pPr>
        <w:jc w:val="center"/>
        <w:rPr>
          <w:rFonts w:ascii="Tinos" w:hAnsi="Tinos" w:cs="Tinos"/>
          <w:b/>
          <w:bCs/>
          <w:i/>
          <w:iCs/>
          <w:szCs w:val="28"/>
        </w:rPr>
      </w:pPr>
      <w:r>
        <w:rPr>
          <w:rFonts w:ascii="Tinos" w:eastAsia="Tinos" w:hAnsi="Tinos" w:cs="Tinos"/>
          <w:szCs w:val="28"/>
        </w:rPr>
        <w:t>Комплексные кадастровые работы в 2025 году</w:t>
      </w:r>
      <w:r>
        <w:rPr>
          <w:rFonts w:ascii="Tinos" w:hAnsi="Tinos" w:cs="Tinos"/>
          <w:szCs w:val="28"/>
        </w:rPr>
        <w:t xml:space="preserve"> – массовое уточнение местоположения границ объектов недвижимости </w:t>
      </w:r>
    </w:p>
    <w:p w:rsidR="00787431" w:rsidRDefault="00787431">
      <w:pPr>
        <w:spacing w:line="276" w:lineRule="auto"/>
        <w:ind w:firstLine="708"/>
        <w:jc w:val="both"/>
        <w:rPr>
          <w:rFonts w:ascii="Tinos" w:hAnsi="Tinos" w:cs="Tinos"/>
          <w:szCs w:val="28"/>
        </w:rPr>
      </w:pPr>
    </w:p>
    <w:p w:rsidR="00787431" w:rsidRDefault="00993E4A">
      <w:pPr>
        <w:spacing w:line="276" w:lineRule="auto"/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Cs w:val="28"/>
        </w:rPr>
        <w:t xml:space="preserve">В 2025 году на территории г. Ставрополь, г. Лермонтов, г. Кисловодск, г. Ессентуки, Красногвардейского, Ипатовского, </w:t>
      </w:r>
      <w:proofErr w:type="spellStart"/>
      <w:r>
        <w:rPr>
          <w:rFonts w:ascii="Tinos" w:eastAsia="Tinos" w:hAnsi="Tinos" w:cs="Tinos"/>
          <w:szCs w:val="28"/>
        </w:rPr>
        <w:t>Апанасенковского</w:t>
      </w:r>
      <w:proofErr w:type="spellEnd"/>
      <w:r>
        <w:rPr>
          <w:rFonts w:ascii="Tinos" w:eastAsia="Tinos" w:hAnsi="Tinos" w:cs="Tinos"/>
          <w:szCs w:val="28"/>
        </w:rPr>
        <w:t xml:space="preserve">, </w:t>
      </w:r>
      <w:proofErr w:type="spellStart"/>
      <w:r>
        <w:rPr>
          <w:rFonts w:ascii="Tinos" w:eastAsia="Tinos" w:hAnsi="Tinos" w:cs="Tinos"/>
          <w:szCs w:val="28"/>
        </w:rPr>
        <w:t>Изобильненского</w:t>
      </w:r>
      <w:proofErr w:type="spellEnd"/>
      <w:r>
        <w:rPr>
          <w:rFonts w:ascii="Tinos" w:eastAsia="Tinos" w:hAnsi="Tinos" w:cs="Tinos"/>
          <w:szCs w:val="28"/>
        </w:rPr>
        <w:t xml:space="preserve">, Шпаковского, Новоселицкого, Буденновского, Минераловодского, Георгиевского, Советского, Предгорного, Петровского, </w:t>
      </w:r>
      <w:proofErr w:type="spellStart"/>
      <w:r>
        <w:rPr>
          <w:rFonts w:ascii="Tinos" w:eastAsia="Tinos" w:hAnsi="Tinos" w:cs="Tinos"/>
          <w:szCs w:val="28"/>
        </w:rPr>
        <w:t>Новоалександровского</w:t>
      </w:r>
      <w:proofErr w:type="spellEnd"/>
      <w:r>
        <w:rPr>
          <w:rFonts w:ascii="Tinos" w:eastAsia="Tinos" w:hAnsi="Tinos" w:cs="Tinos"/>
          <w:szCs w:val="28"/>
        </w:rPr>
        <w:t xml:space="preserve">, Левокумского, Кочубеевского, </w:t>
      </w:r>
      <w:proofErr w:type="spellStart"/>
      <w:r>
        <w:rPr>
          <w:rFonts w:ascii="Tinos" w:eastAsia="Tinos" w:hAnsi="Tinos" w:cs="Tinos"/>
          <w:szCs w:val="28"/>
        </w:rPr>
        <w:t>Степновского</w:t>
      </w:r>
      <w:proofErr w:type="spellEnd"/>
      <w:r>
        <w:rPr>
          <w:rFonts w:ascii="Tinos" w:eastAsia="Tinos" w:hAnsi="Tinos" w:cs="Tinos"/>
          <w:szCs w:val="28"/>
        </w:rPr>
        <w:t xml:space="preserve"> муниципальных округов Ставропольского края проводятся комплексные кадастровые работы. Работы охватывают 469 кадастровых квартала.</w:t>
      </w:r>
    </w:p>
    <w:p w:rsidR="00787431" w:rsidRDefault="00993E4A">
      <w:pPr>
        <w:spacing w:line="276" w:lineRule="auto"/>
        <w:ind w:firstLine="708"/>
        <w:jc w:val="both"/>
        <w:rPr>
          <w:i/>
          <w:iCs/>
        </w:rPr>
      </w:pPr>
      <w:r>
        <w:rPr>
          <w:rFonts w:ascii="Tinos" w:eastAsia="Tinos" w:hAnsi="Tinos" w:cs="Tinos"/>
          <w:szCs w:val="28"/>
        </w:rPr>
        <w:t xml:space="preserve">Перечень кадастровых кварталов на территории которых проводятся комплексные кадастровые работы в 2025 году, а также Извещение о начале выполнения комплексных кадастровых работ можно посмотреть на сайте </w:t>
      </w:r>
      <w:proofErr w:type="spellStart"/>
      <w:r>
        <w:rPr>
          <w:rFonts w:ascii="Tinos" w:eastAsia="Tinos" w:hAnsi="Tinos" w:cs="Tinos"/>
          <w:szCs w:val="28"/>
        </w:rPr>
        <w:t>Росреестра</w:t>
      </w:r>
      <w:proofErr w:type="spellEnd"/>
      <w:r>
        <w:rPr>
          <w:rFonts w:ascii="Tinos" w:eastAsia="Tinos" w:hAnsi="Tinos" w:cs="Tinos"/>
          <w:szCs w:val="28"/>
        </w:rPr>
        <w:t xml:space="preserve"> (подраздел Ставропольского края) (раздел </w:t>
      </w:r>
      <w:hyperlink r:id="rId7" w:history="1">
        <w:r>
          <w:rPr>
            <w:rFonts w:ascii="Tinos" w:eastAsia="Tinos" w:hAnsi="Tinos" w:cs="Tinos"/>
            <w:szCs w:val="28"/>
            <w:lang w:eastAsia="ru-RU"/>
          </w:rPr>
          <w:t>Открытая служба</w:t>
        </w:r>
      </w:hyperlink>
      <w:r>
        <w:rPr>
          <w:rFonts w:ascii="Tinos" w:eastAsia="Tinos" w:hAnsi="Tinos" w:cs="Tinos"/>
          <w:szCs w:val="28"/>
          <w:lang w:eastAsia="ru-RU"/>
        </w:rPr>
        <w:t>/</w:t>
      </w:r>
      <w:hyperlink r:id="rId8" w:history="1">
        <w:r>
          <w:rPr>
            <w:rFonts w:ascii="Tinos" w:eastAsia="Tinos" w:hAnsi="Tinos" w:cs="Tinos"/>
            <w:szCs w:val="28"/>
            <w:lang w:eastAsia="ru-RU"/>
          </w:rPr>
          <w:t>Статистика и аналитика</w:t>
        </w:r>
      </w:hyperlink>
      <w:r>
        <w:rPr>
          <w:rFonts w:ascii="Tinos" w:eastAsia="Tinos" w:hAnsi="Tinos" w:cs="Tinos"/>
          <w:szCs w:val="28"/>
          <w:lang w:eastAsia="ru-RU"/>
        </w:rPr>
        <w:t>/Ставропольский край/Комплексные кадастровые работы/</w:t>
      </w:r>
      <w:r>
        <w:rPr>
          <w:rFonts w:ascii="Tinos" w:eastAsia="Tinos" w:hAnsi="Tinos" w:cs="Tinos"/>
          <w:szCs w:val="28"/>
        </w:rPr>
        <w:t>папка «Извещения о начале выполнения комплексных кадастровых работ на территории Ставропольского кра</w:t>
      </w:r>
      <w:r>
        <w:rPr>
          <w:rFonts w:ascii="Tinos" w:eastAsia="Tinos" w:hAnsi="Tinos" w:cs="Tinos"/>
          <w:i/>
          <w:iCs/>
          <w:szCs w:val="28"/>
        </w:rPr>
        <w:t>я</w:t>
      </w:r>
      <w:r>
        <w:rPr>
          <w:rFonts w:ascii="Tinos" w:eastAsia="Tinos" w:hAnsi="Tinos" w:cs="Tinos"/>
          <w:szCs w:val="28"/>
        </w:rPr>
        <w:t xml:space="preserve">»), </w:t>
      </w:r>
      <w:r>
        <w:t>на сайте филиала ППК «</w:t>
      </w:r>
      <w:proofErr w:type="spellStart"/>
      <w:r>
        <w:t>Роскадастр</w:t>
      </w:r>
      <w:proofErr w:type="spellEnd"/>
      <w:r>
        <w:t xml:space="preserve">» по Ставропольскому краю https://kadastr.ru/ (раздел «О </w:t>
      </w:r>
      <w:proofErr w:type="spellStart"/>
      <w:r>
        <w:t>Роскадастре</w:t>
      </w:r>
      <w:proofErr w:type="spellEnd"/>
      <w:r>
        <w:t xml:space="preserve">»/«Банк документов»), а также на сайте </w:t>
      </w:r>
      <w:r w:rsidRPr="00A11CD7">
        <w:rPr>
          <w:rFonts w:cs="Tahoma"/>
          <w:szCs w:val="28"/>
        </w:rPr>
        <w:t xml:space="preserve">администрации Ипатовского муниципального округа Ставропольского края в информационно-телекоммуникационной сети «Интернет» - </w:t>
      </w:r>
      <w:r w:rsidRPr="00A11CD7">
        <w:rPr>
          <w:szCs w:val="28"/>
        </w:rPr>
        <w:t>https://ipatovo26.gosuslugi.ru/</w:t>
      </w:r>
      <w:r>
        <w:rPr>
          <w:i/>
          <w:iCs/>
        </w:rPr>
        <w:t xml:space="preserve"> (раздел меню «Официально»/ «Документы» / «Извещение о начале выполнения компле</w:t>
      </w:r>
      <w:r w:rsidR="00992697">
        <w:rPr>
          <w:i/>
          <w:iCs/>
        </w:rPr>
        <w:t>ксных кадастровых работ»).</w:t>
      </w:r>
    </w:p>
    <w:p w:rsidR="00787431" w:rsidRDefault="00993E4A">
      <w:pPr>
        <w:spacing w:line="276" w:lineRule="auto"/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Cs w:val="28"/>
        </w:rPr>
        <w:t>Исполнителем федеральных комплексных кадастровых работ 2025 года является филиал ППК «</w:t>
      </w:r>
      <w:proofErr w:type="spellStart"/>
      <w:r>
        <w:rPr>
          <w:rFonts w:ascii="Tinos" w:eastAsia="Tinos" w:hAnsi="Tinos" w:cs="Tinos"/>
          <w:szCs w:val="28"/>
        </w:rPr>
        <w:t>Роскадастр</w:t>
      </w:r>
      <w:proofErr w:type="spellEnd"/>
      <w:r>
        <w:rPr>
          <w:rFonts w:ascii="Tinos" w:eastAsia="Tinos" w:hAnsi="Tinos" w:cs="Tinos"/>
          <w:szCs w:val="28"/>
        </w:rPr>
        <w:t>» по Ставропольскому краю, контактные данные имеются в указанном выше Извещении.</w:t>
      </w:r>
    </w:p>
    <w:p w:rsidR="00787431" w:rsidRDefault="00993E4A">
      <w:pPr>
        <w:spacing w:line="276" w:lineRule="auto"/>
        <w:ind w:firstLine="708"/>
        <w:jc w:val="both"/>
        <w:rPr>
          <w:rFonts w:ascii="Tinos" w:hAnsi="Tinos" w:cs="Tinos"/>
          <w:szCs w:val="28"/>
          <w:highlight w:val="yellow"/>
        </w:rPr>
      </w:pPr>
      <w:r>
        <w:rPr>
          <w:rFonts w:ascii="Tinos" w:hAnsi="Tinos" w:cs="Tinos"/>
          <w:szCs w:val="28"/>
        </w:rPr>
        <w:t>Все расходы покрываются за счет федеральных средств</w:t>
      </w:r>
      <w:bookmarkStart w:id="0" w:name="_GoBack"/>
      <w:bookmarkEnd w:id="0"/>
      <w:r>
        <w:rPr>
          <w:rFonts w:ascii="Tinos" w:hAnsi="Tinos" w:cs="Tinos"/>
          <w:szCs w:val="28"/>
        </w:rPr>
        <w:t xml:space="preserve"> и гражданам не нужно платить за проведение работ.</w:t>
      </w:r>
    </w:p>
    <w:p w:rsidR="00787431" w:rsidRDefault="00993E4A">
      <w:pPr>
        <w:spacing w:line="276" w:lineRule="auto"/>
        <w:ind w:firstLine="708"/>
        <w:jc w:val="both"/>
      </w:pPr>
      <w:r>
        <w:rPr>
          <w:rFonts w:ascii="Tinos" w:eastAsia="Tinos" w:hAnsi="Tinos" w:cs="Tinos"/>
          <w:szCs w:val="28"/>
        </w:rPr>
        <w:t>Собственники объектов недвижимости, расположенных в пределах кадастровых кварталов, должны активно участвовать в процессе. Для более точного выполнения работ правообладатели могут предоставить кадастровым инженерам имеющиеся документы на объекты недвижимости, включая заверенные копии документов, подтверждающих права на них.</w:t>
      </w:r>
    </w:p>
    <w:p w:rsidR="00787431" w:rsidRDefault="00993E4A">
      <w:pPr>
        <w:spacing w:line="276" w:lineRule="auto"/>
        <w:ind w:firstLine="708"/>
        <w:jc w:val="both"/>
        <w:rPr>
          <w:rFonts w:ascii="Tinos" w:hAnsi="Tinos" w:cs="Tinos"/>
          <w:szCs w:val="28"/>
        </w:rPr>
      </w:pPr>
      <w:r>
        <w:rPr>
          <w:rFonts w:ascii="Tinos" w:eastAsia="Tinos" w:hAnsi="Tinos" w:cs="Tinos"/>
          <w:szCs w:val="28"/>
        </w:rPr>
        <w:t>Для своевременного получения информации о ходе работ собственникам рекомендуется указать контактные данные (электронную почту или почтовый адрес) для их внесения в Единый государственный реестр недвижимости. Это позволит уведомлять о завершении подготовки проекта карты-плана территории и о проведении заседаний согласительной комиссии. Такие данные можно сообщить кадастровому инженеру, указанному в Извещении о начале выполнения комплексных кадастровых работ.</w:t>
      </w:r>
    </w:p>
    <w:p w:rsidR="00787431" w:rsidRDefault="00993E4A">
      <w:pPr>
        <w:spacing w:line="276" w:lineRule="auto"/>
        <w:ind w:firstLine="708"/>
        <w:jc w:val="both"/>
        <w:rPr>
          <w:rFonts w:ascii="Tinos" w:hAnsi="Tinos" w:cs="Tinos"/>
          <w:color w:val="000000" w:themeColor="text1"/>
          <w:szCs w:val="28"/>
        </w:rPr>
      </w:pPr>
      <w:r>
        <w:rPr>
          <w:rFonts w:ascii="Tinos" w:eastAsia="Tinos" w:hAnsi="Tinos" w:cs="Tinos"/>
          <w:szCs w:val="28"/>
        </w:rPr>
        <w:lastRenderedPageBreak/>
        <w:t xml:space="preserve">Правообладатели объектов недвижимости, расположенных на территории комплексных кадастровых работ, </w:t>
      </w:r>
      <w:r>
        <w:rPr>
          <w:rFonts w:ascii="Tinos" w:eastAsia="Tinos" w:hAnsi="Tinos" w:cs="Tinos"/>
          <w:b/>
          <w:bCs/>
          <w:szCs w:val="28"/>
        </w:rPr>
        <w:t>не вправе препятствовать</w:t>
      </w:r>
      <w:r>
        <w:rPr>
          <w:rFonts w:ascii="Tinos" w:eastAsia="Tinos" w:hAnsi="Tinos" w:cs="Tinos"/>
          <w:szCs w:val="28"/>
        </w:rPr>
        <w:t xml:space="preserve"> выполнению комплексных кадастровых работ и обязаны обеспечить доступ к указанным об</w:t>
      </w:r>
      <w:r>
        <w:rPr>
          <w:rFonts w:ascii="Tinos" w:eastAsia="Tinos" w:hAnsi="Tinos" w:cs="Tinos"/>
          <w:color w:val="000000" w:themeColor="text1"/>
          <w:szCs w:val="28"/>
        </w:rPr>
        <w:t>ъектам недвижимости исполнителю комплексных кадастровых работ.</w:t>
      </w:r>
    </w:p>
    <w:p w:rsidR="00787431" w:rsidRDefault="00993E4A">
      <w:pPr>
        <w:spacing w:line="276" w:lineRule="auto"/>
        <w:ind w:firstLine="708"/>
        <w:jc w:val="both"/>
        <w:rPr>
          <w:rFonts w:ascii="Tinos" w:hAnsi="Tinos" w:cs="Tinos"/>
          <w:color w:val="000000" w:themeColor="text1"/>
          <w:szCs w:val="28"/>
        </w:rPr>
      </w:pPr>
      <w:r>
        <w:rPr>
          <w:rFonts w:ascii="Tinos" w:eastAsia="Tinos" w:hAnsi="Tinos" w:cs="Tinos"/>
          <w:color w:val="000000" w:themeColor="text1"/>
          <w:szCs w:val="28"/>
          <w:highlight w:val="white"/>
        </w:rPr>
        <w:t xml:space="preserve">Результатом проведения комплексных кадастровых работ является внесение в </w:t>
      </w:r>
      <w:r>
        <w:rPr>
          <w:rFonts w:ascii="Tinos" w:eastAsia="Tinos" w:hAnsi="Tinos" w:cs="Tinos"/>
          <w:szCs w:val="28"/>
        </w:rPr>
        <w:t>Единый государственный реестр недвижимости</w:t>
      </w:r>
      <w:r>
        <w:rPr>
          <w:rFonts w:ascii="Tinos" w:eastAsia="Tinos" w:hAnsi="Tinos" w:cs="Tinos"/>
          <w:color w:val="000000" w:themeColor="text1"/>
          <w:szCs w:val="28"/>
          <w:highlight w:val="white"/>
        </w:rPr>
        <w:t xml:space="preserve"> точных сведений о местоположении границ земельных участков, зданий, сооружений, объектов незавершенного строительства</w:t>
      </w:r>
      <w:r>
        <w:rPr>
          <w:rFonts w:ascii="Tinos" w:eastAsia="Tinos" w:hAnsi="Tinos" w:cs="Tinos"/>
          <w:color w:val="000000" w:themeColor="text1"/>
          <w:szCs w:val="28"/>
        </w:rPr>
        <w:t>.</w:t>
      </w:r>
    </w:p>
    <w:p w:rsidR="00787431" w:rsidRDefault="00787431">
      <w:pPr>
        <w:spacing w:line="276" w:lineRule="auto"/>
        <w:ind w:firstLine="708"/>
        <w:jc w:val="both"/>
        <w:rPr>
          <w:rFonts w:ascii="Tinos" w:hAnsi="Tinos" w:cs="Tinos"/>
          <w:szCs w:val="28"/>
        </w:rPr>
      </w:pPr>
    </w:p>
    <w:p w:rsidR="00787431" w:rsidRDefault="00787431">
      <w:pPr>
        <w:ind w:firstLine="709"/>
        <w:jc w:val="both"/>
        <w:rPr>
          <w:rFonts w:ascii="Tinos" w:hAnsi="Tinos" w:cs="Tinos"/>
          <w:szCs w:val="28"/>
        </w:rPr>
      </w:pPr>
    </w:p>
    <w:sectPr w:rsidR="00787431">
      <w:headerReference w:type="even" r:id="rId9"/>
      <w:headerReference w:type="first" r:id="rId10"/>
      <w:pgSz w:w="11906" w:h="16838"/>
      <w:pgMar w:top="1134" w:right="850" w:bottom="851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626" w:rsidRDefault="00AA1626">
      <w:r>
        <w:separator/>
      </w:r>
    </w:p>
  </w:endnote>
  <w:endnote w:type="continuationSeparator" w:id="0">
    <w:p w:rsidR="00AA1626" w:rsidRDefault="00AA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626" w:rsidRDefault="00AA1626">
      <w:r>
        <w:separator/>
      </w:r>
    </w:p>
  </w:footnote>
  <w:footnote w:type="continuationSeparator" w:id="0">
    <w:p w:rsidR="00AA1626" w:rsidRDefault="00AA1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431" w:rsidRDefault="00993E4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10FD5" w:rsidRPr="00510FD5">
      <w:rPr>
        <w:noProof/>
        <w:lang w:val="ru-RU"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431" w:rsidRDefault="007874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51E71"/>
    <w:multiLevelType w:val="hybridMultilevel"/>
    <w:tmpl w:val="384E5C8E"/>
    <w:lvl w:ilvl="0" w:tplc="4A6EF200">
      <w:start w:val="1"/>
      <w:numFmt w:val="decimal"/>
      <w:lvlText w:val="%1)"/>
      <w:lvlJc w:val="left"/>
      <w:pPr>
        <w:ind w:left="1069" w:hanging="360"/>
      </w:pPr>
    </w:lvl>
    <w:lvl w:ilvl="1" w:tplc="9CBC4372">
      <w:start w:val="1"/>
      <w:numFmt w:val="lowerLetter"/>
      <w:lvlText w:val="%2."/>
      <w:lvlJc w:val="left"/>
      <w:pPr>
        <w:ind w:left="1789" w:hanging="360"/>
      </w:pPr>
    </w:lvl>
    <w:lvl w:ilvl="2" w:tplc="C832BCB0">
      <w:start w:val="1"/>
      <w:numFmt w:val="lowerRoman"/>
      <w:lvlText w:val="%3."/>
      <w:lvlJc w:val="right"/>
      <w:pPr>
        <w:ind w:left="2509" w:hanging="180"/>
      </w:pPr>
    </w:lvl>
    <w:lvl w:ilvl="3" w:tplc="5C463C9A">
      <w:start w:val="1"/>
      <w:numFmt w:val="decimal"/>
      <w:lvlText w:val="%4."/>
      <w:lvlJc w:val="left"/>
      <w:pPr>
        <w:ind w:left="3229" w:hanging="360"/>
      </w:pPr>
    </w:lvl>
    <w:lvl w:ilvl="4" w:tplc="35963C5E">
      <w:start w:val="1"/>
      <w:numFmt w:val="lowerLetter"/>
      <w:lvlText w:val="%5."/>
      <w:lvlJc w:val="left"/>
      <w:pPr>
        <w:ind w:left="3949" w:hanging="360"/>
      </w:pPr>
    </w:lvl>
    <w:lvl w:ilvl="5" w:tplc="754695E2">
      <w:start w:val="1"/>
      <w:numFmt w:val="lowerRoman"/>
      <w:lvlText w:val="%6."/>
      <w:lvlJc w:val="right"/>
      <w:pPr>
        <w:ind w:left="4669" w:hanging="180"/>
      </w:pPr>
    </w:lvl>
    <w:lvl w:ilvl="6" w:tplc="7812A588">
      <w:start w:val="1"/>
      <w:numFmt w:val="decimal"/>
      <w:lvlText w:val="%7."/>
      <w:lvlJc w:val="left"/>
      <w:pPr>
        <w:ind w:left="5389" w:hanging="360"/>
      </w:pPr>
    </w:lvl>
    <w:lvl w:ilvl="7" w:tplc="0454616A">
      <w:start w:val="1"/>
      <w:numFmt w:val="lowerLetter"/>
      <w:lvlText w:val="%8."/>
      <w:lvlJc w:val="left"/>
      <w:pPr>
        <w:ind w:left="6109" w:hanging="360"/>
      </w:pPr>
    </w:lvl>
    <w:lvl w:ilvl="8" w:tplc="9E82507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DF669C"/>
    <w:multiLevelType w:val="hybridMultilevel"/>
    <w:tmpl w:val="63320952"/>
    <w:lvl w:ilvl="0" w:tplc="DAE4F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ECD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2CD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7E88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C40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0DE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00E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4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CA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31"/>
    <w:rsid w:val="00510FD5"/>
    <w:rsid w:val="00787431"/>
    <w:rsid w:val="00992697"/>
    <w:rsid w:val="00993E4A"/>
    <w:rsid w:val="00AA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DA606-618A-4A0A-B939-44109AF1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8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8"/>
      <w:szCs w:val="22"/>
      <w:lang w:eastAsia="en-US"/>
    </w:rPr>
  </w:style>
  <w:style w:type="paragraph" w:styleId="25">
    <w:name w:val="Body Text Indent 2"/>
    <w:basedOn w:val="a"/>
    <w:link w:val="26"/>
    <w:pPr>
      <w:ind w:firstLine="539"/>
      <w:jc w:val="both"/>
      <w:outlineLvl w:val="0"/>
    </w:pPr>
    <w:rPr>
      <w:rFonts w:eastAsia="Times New Roman"/>
      <w:szCs w:val="28"/>
      <w:lang w:eastAsia="ru-RU"/>
    </w:rPr>
  </w:style>
  <w:style w:type="character" w:customStyle="1" w:styleId="26">
    <w:name w:val="Основной текст с отступом 2 Знак"/>
    <w:link w:val="25"/>
    <w:rPr>
      <w:rFonts w:eastAsia="Times New Roman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statistika-i-analiti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open-serv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</vt:lpstr>
    </vt:vector>
  </TitlesOfParts>
  <Company>SPecialiST RePack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</dc:title>
  <dc:creator>111</dc:creator>
  <cp:lastModifiedBy>Оля</cp:lastModifiedBy>
  <cp:revision>4</cp:revision>
  <cp:lastPrinted>2025-03-14T13:18:00Z</cp:lastPrinted>
  <dcterms:created xsi:type="dcterms:W3CDTF">2025-03-14T13:05:00Z</dcterms:created>
  <dcterms:modified xsi:type="dcterms:W3CDTF">2025-03-14T13:18:00Z</dcterms:modified>
  <cp:version>1048576</cp:version>
</cp:coreProperties>
</file>