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64" w:rsidRPr="00395664" w:rsidRDefault="00395664" w:rsidP="006735B5">
      <w:pPr>
        <w:pBdr>
          <w:bottom w:val="single" w:sz="12" w:space="1" w:color="auto"/>
        </w:pBdr>
        <w:spacing w:line="240" w:lineRule="auto"/>
        <w:jc w:val="center"/>
        <w:rPr>
          <w:b/>
          <w:szCs w:val="28"/>
        </w:rPr>
      </w:pPr>
      <w:r w:rsidRPr="00395664">
        <w:rPr>
          <w:b/>
          <w:szCs w:val="28"/>
        </w:rPr>
        <w:t xml:space="preserve">Контрольно-счетная комиссия </w:t>
      </w:r>
      <w:proofErr w:type="spellStart"/>
      <w:r w:rsidRPr="00395664">
        <w:rPr>
          <w:b/>
          <w:szCs w:val="28"/>
        </w:rPr>
        <w:t>Ипатовского</w:t>
      </w:r>
      <w:proofErr w:type="spellEnd"/>
      <w:r w:rsidRPr="00395664">
        <w:rPr>
          <w:b/>
          <w:szCs w:val="28"/>
        </w:rPr>
        <w:t xml:space="preserve"> городского округа Ставропольского края</w:t>
      </w:r>
    </w:p>
    <w:p w:rsidR="00A7052D" w:rsidRDefault="00A7052D" w:rsidP="006735B5">
      <w:pPr>
        <w:spacing w:line="240" w:lineRule="auto"/>
        <w:jc w:val="center"/>
        <w:rPr>
          <w:b/>
        </w:rPr>
      </w:pPr>
    </w:p>
    <w:p w:rsidR="00CC3B7F" w:rsidRDefault="00335C90" w:rsidP="006735B5">
      <w:pPr>
        <w:spacing w:line="240" w:lineRule="auto"/>
        <w:jc w:val="center"/>
        <w:rPr>
          <w:b/>
        </w:rPr>
      </w:pPr>
      <w:r w:rsidRPr="00395664">
        <w:rPr>
          <w:b/>
        </w:rPr>
        <w:t>Заключение</w:t>
      </w:r>
      <w:r w:rsidR="003952F1" w:rsidRPr="00395664">
        <w:rPr>
          <w:b/>
        </w:rPr>
        <w:t xml:space="preserve"> </w:t>
      </w:r>
      <w:r w:rsidRPr="00395664">
        <w:rPr>
          <w:b/>
        </w:rPr>
        <w:t xml:space="preserve">на отчет об исполнении бюджета </w:t>
      </w:r>
      <w:proofErr w:type="spellStart"/>
      <w:r w:rsidRPr="00395664">
        <w:rPr>
          <w:b/>
        </w:rPr>
        <w:t>Ипатовского</w:t>
      </w:r>
      <w:proofErr w:type="spellEnd"/>
      <w:r w:rsidRPr="00395664">
        <w:rPr>
          <w:b/>
        </w:rPr>
        <w:t xml:space="preserve"> городского окру</w:t>
      </w:r>
      <w:r w:rsidR="0028167E">
        <w:rPr>
          <w:b/>
        </w:rPr>
        <w:t>га  Ставропольского края за 20</w:t>
      </w:r>
      <w:r w:rsidR="00DC225C">
        <w:rPr>
          <w:b/>
        </w:rPr>
        <w:t>20</w:t>
      </w:r>
      <w:r w:rsidRPr="00395664">
        <w:rPr>
          <w:b/>
        </w:rPr>
        <w:t xml:space="preserve"> год</w:t>
      </w:r>
    </w:p>
    <w:p w:rsidR="006735B5" w:rsidRDefault="006735B5" w:rsidP="006735B5">
      <w:pPr>
        <w:spacing w:line="240" w:lineRule="auto"/>
        <w:jc w:val="center"/>
        <w:rPr>
          <w:b/>
        </w:rPr>
      </w:pPr>
    </w:p>
    <w:p w:rsidR="00395664" w:rsidRDefault="005B02A9" w:rsidP="006735B5">
      <w:pPr>
        <w:spacing w:line="240" w:lineRule="auto"/>
        <w:jc w:val="left"/>
      </w:pPr>
      <w:r>
        <w:t>2</w:t>
      </w:r>
      <w:r w:rsidR="008F0F21">
        <w:t>6</w:t>
      </w:r>
      <w:r w:rsidR="00395664" w:rsidRPr="00395664">
        <w:t>.04.20</w:t>
      </w:r>
      <w:r>
        <w:t>2</w:t>
      </w:r>
      <w:r w:rsidR="00DC225C">
        <w:t>1</w:t>
      </w:r>
      <w:r w:rsidR="00395664" w:rsidRPr="00395664">
        <w:t xml:space="preserve"> г</w:t>
      </w:r>
      <w:r w:rsidR="00CF0EF0">
        <w:t>ода</w:t>
      </w:r>
    </w:p>
    <w:p w:rsidR="006735B5" w:rsidRDefault="006735B5" w:rsidP="006735B5">
      <w:pPr>
        <w:spacing w:line="240" w:lineRule="auto"/>
        <w:jc w:val="left"/>
      </w:pPr>
    </w:p>
    <w:p w:rsidR="00335C90" w:rsidRPr="00335C90" w:rsidRDefault="00335C90" w:rsidP="006735B5">
      <w:pPr>
        <w:spacing w:line="240" w:lineRule="auto"/>
      </w:pPr>
      <w:r w:rsidRPr="00335C90">
        <w:t xml:space="preserve">На основании статьи 264.4 Бюджетного кодекса Российской Федерации (далее – БК РФ), </w:t>
      </w:r>
      <w:r w:rsidR="009B4D91">
        <w:t>пункт</w:t>
      </w:r>
      <w:r w:rsidR="002C2068">
        <w:t xml:space="preserve">а </w:t>
      </w:r>
      <w:r w:rsidR="009B4D91">
        <w:t xml:space="preserve"> 5 статьи 7 и</w:t>
      </w:r>
      <w:r w:rsidR="007723D6">
        <w:t xml:space="preserve"> пункта 3</w:t>
      </w:r>
      <w:r w:rsidR="009B4D91">
        <w:t xml:space="preserve"> </w:t>
      </w:r>
      <w:r w:rsidR="00E225CD">
        <w:t>стать</w:t>
      </w:r>
      <w:r w:rsidR="007723D6">
        <w:t>и</w:t>
      </w:r>
      <w:r w:rsidR="00E225CD">
        <w:t xml:space="preserve"> </w:t>
      </w:r>
      <w:r w:rsidR="007723D6">
        <w:t>34</w:t>
      </w:r>
      <w:r w:rsidR="00E225CD" w:rsidRPr="00E225CD">
        <w:t xml:space="preserve"> Положения о бюджетном процессе в </w:t>
      </w:r>
      <w:proofErr w:type="spellStart"/>
      <w:r w:rsidR="00E225CD" w:rsidRPr="00E225CD">
        <w:t>Ипатовском</w:t>
      </w:r>
      <w:proofErr w:type="spellEnd"/>
      <w:r w:rsidR="00E225CD" w:rsidRPr="00E225CD">
        <w:t xml:space="preserve"> городском округе Ставропольского края, утвержденного решением Думы </w:t>
      </w:r>
      <w:proofErr w:type="spellStart"/>
      <w:r w:rsidR="00E225CD" w:rsidRPr="00E225CD">
        <w:t>Ипатовского</w:t>
      </w:r>
      <w:proofErr w:type="spellEnd"/>
      <w:r w:rsidR="00E225CD" w:rsidRPr="00E225CD">
        <w:t xml:space="preserve"> городского округа Ставропольского края от 20.09.2017 г</w:t>
      </w:r>
      <w:r w:rsidR="005B02A9">
        <w:t>.</w:t>
      </w:r>
      <w:r w:rsidR="00E225CD" w:rsidRPr="00E225CD">
        <w:t xml:space="preserve"> № 19</w:t>
      </w:r>
      <w:r w:rsidR="00A557F2">
        <w:t xml:space="preserve"> (далее - </w:t>
      </w:r>
      <w:r w:rsidR="00A557F2" w:rsidRPr="00A557F2">
        <w:t>Положени</w:t>
      </w:r>
      <w:r w:rsidR="00A557F2">
        <w:t>е</w:t>
      </w:r>
      <w:r w:rsidR="00A557F2" w:rsidRPr="00A557F2">
        <w:t xml:space="preserve"> о бюджетном процессе в </w:t>
      </w:r>
      <w:proofErr w:type="spellStart"/>
      <w:r w:rsidR="00A557F2" w:rsidRPr="00A557F2">
        <w:t>Ипатовском</w:t>
      </w:r>
      <w:proofErr w:type="spellEnd"/>
      <w:r w:rsidR="00A557F2" w:rsidRPr="00A557F2">
        <w:t xml:space="preserve"> городском округе Ставропольского края</w:t>
      </w:r>
      <w:r w:rsidR="00A557F2">
        <w:t>)</w:t>
      </w:r>
      <w:r w:rsidR="00E225CD" w:rsidRPr="00E225CD">
        <w:t>, Положения о</w:t>
      </w:r>
      <w:proofErr w:type="gramStart"/>
      <w:r w:rsidR="00E225CD" w:rsidRPr="00E225CD">
        <w:t xml:space="preserve"> </w:t>
      </w:r>
      <w:proofErr w:type="spellStart"/>
      <w:r w:rsidR="00E225CD" w:rsidRPr="00E225CD">
        <w:t>К</w:t>
      </w:r>
      <w:proofErr w:type="gramEnd"/>
      <w:r w:rsidR="00E225CD" w:rsidRPr="00E225CD">
        <w:t>онтрольно</w:t>
      </w:r>
      <w:proofErr w:type="spellEnd"/>
      <w:r w:rsidR="00E225CD" w:rsidRPr="00E225CD">
        <w:t xml:space="preserve"> - счетной комиссии ИГО СК, утвержденного решением Думы ИГО СК от 20.09.2017 г. № 20</w:t>
      </w:r>
      <w:r w:rsidR="00441173">
        <w:t>,</w:t>
      </w:r>
      <w:r w:rsidR="00E225CD">
        <w:t xml:space="preserve"> </w:t>
      </w:r>
      <w:r w:rsidRPr="00335C90">
        <w:t xml:space="preserve">Контрольно-счетной </w:t>
      </w:r>
      <w:r w:rsidR="00E225CD">
        <w:t xml:space="preserve">комиссией </w:t>
      </w:r>
      <w:proofErr w:type="spellStart"/>
      <w:r w:rsidR="00E225CD">
        <w:t>Ипатовского</w:t>
      </w:r>
      <w:proofErr w:type="spellEnd"/>
      <w:r w:rsidR="00E225CD">
        <w:t xml:space="preserve"> городского округа</w:t>
      </w:r>
      <w:r w:rsidRPr="00335C90">
        <w:t xml:space="preserve"> Ставропольского края проведена внешняя проверка отчета об исполнении бюджета </w:t>
      </w:r>
      <w:proofErr w:type="spellStart"/>
      <w:r w:rsidR="00E225CD">
        <w:t>Ипатовского</w:t>
      </w:r>
      <w:proofErr w:type="spellEnd"/>
      <w:r w:rsidR="00E225CD">
        <w:t xml:space="preserve"> городского округа </w:t>
      </w:r>
      <w:r w:rsidRPr="00335C90">
        <w:t>Ставропольского края за 20</w:t>
      </w:r>
      <w:r w:rsidR="00DC225C">
        <w:t>20</w:t>
      </w:r>
      <w:r w:rsidRPr="00335C90">
        <w:t xml:space="preserve"> год.</w:t>
      </w:r>
    </w:p>
    <w:p w:rsidR="00335C90" w:rsidRPr="00335C90" w:rsidRDefault="00441173" w:rsidP="006735B5">
      <w:pPr>
        <w:spacing w:line="240" w:lineRule="auto"/>
      </w:pPr>
      <w:proofErr w:type="gramStart"/>
      <w:r>
        <w:t>О</w:t>
      </w:r>
      <w:r w:rsidR="00335C90" w:rsidRPr="00335C90">
        <w:t xml:space="preserve">тчет об исполнении бюджета </w:t>
      </w:r>
      <w:proofErr w:type="spellStart"/>
      <w:r w:rsidR="0026687A" w:rsidRPr="0026687A">
        <w:t>Ипатовского</w:t>
      </w:r>
      <w:proofErr w:type="spellEnd"/>
      <w:r w:rsidR="0026687A" w:rsidRPr="0026687A">
        <w:t xml:space="preserve"> городского округа Ставропольского края за 20</w:t>
      </w:r>
      <w:r w:rsidR="00DC225C">
        <w:t>20</w:t>
      </w:r>
      <w:r w:rsidR="0026687A" w:rsidRPr="0026687A">
        <w:t xml:space="preserve"> год</w:t>
      </w:r>
      <w:r w:rsidR="00335C90" w:rsidRPr="00335C90">
        <w:t xml:space="preserve"> (далее – годовой отчет) содержит все документы и материалы, подлежащие представлению в составе, определенном статьей 264.1 БК РФ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5B02A9">
        <w:t xml:space="preserve"> г.</w:t>
      </w:r>
      <w:r w:rsidR="00335C90" w:rsidRPr="00335C90">
        <w:t xml:space="preserve"> № 191н (далее – Инструкция</w:t>
      </w:r>
      <w:proofErr w:type="gramEnd"/>
      <w:r w:rsidR="00335C90" w:rsidRPr="00335C90">
        <w:t xml:space="preserve"> № </w:t>
      </w:r>
      <w:proofErr w:type="gramStart"/>
      <w:r w:rsidR="00335C90" w:rsidRPr="00335C90">
        <w:t>191н).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>В соответствии со стать</w:t>
      </w:r>
      <w:r w:rsidR="007A441D">
        <w:t>ей</w:t>
      </w:r>
      <w:r w:rsidRPr="00335C90">
        <w:t xml:space="preserve"> </w:t>
      </w:r>
      <w:r w:rsidR="002C2068">
        <w:t>36</w:t>
      </w:r>
      <w:r w:rsidR="007A441D">
        <w:t xml:space="preserve"> </w:t>
      </w:r>
      <w:r w:rsidR="007A441D" w:rsidRPr="007A441D">
        <w:t xml:space="preserve">Положения о бюджетном процессе в </w:t>
      </w:r>
      <w:proofErr w:type="spellStart"/>
      <w:r w:rsidR="007A441D" w:rsidRPr="007A441D">
        <w:t>Ипатовском</w:t>
      </w:r>
      <w:proofErr w:type="spellEnd"/>
      <w:r w:rsidR="007A441D" w:rsidRPr="007A441D">
        <w:t xml:space="preserve"> городском округе Ставропольского края</w:t>
      </w:r>
      <w:r w:rsidRPr="00335C90">
        <w:t xml:space="preserve"> одновременно с годовым отчетом представлены:</w:t>
      </w:r>
    </w:p>
    <w:p w:rsidR="00335C90" w:rsidRPr="00335C90" w:rsidRDefault="00335C90" w:rsidP="006735B5">
      <w:pPr>
        <w:spacing w:line="240" w:lineRule="auto"/>
      </w:pPr>
      <w:r w:rsidRPr="00335C90">
        <w:t xml:space="preserve">- бюджетная отчетность об исполнении бюджета </w:t>
      </w:r>
      <w:proofErr w:type="spellStart"/>
      <w:r w:rsidR="007A441D" w:rsidRPr="007A441D">
        <w:t>Ипатовского</w:t>
      </w:r>
      <w:proofErr w:type="spellEnd"/>
      <w:r w:rsidR="007A441D" w:rsidRPr="007A441D">
        <w:t xml:space="preserve"> городского округа </w:t>
      </w:r>
      <w:r w:rsidRPr="00335C90">
        <w:t>Ставропольского края за 20</w:t>
      </w:r>
      <w:r w:rsidR="00DC225C">
        <w:t>20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об использовании бюджетных ассигнований резервного фонда </w:t>
      </w:r>
      <w:r w:rsidR="00D80212">
        <w:t xml:space="preserve">администрации </w:t>
      </w:r>
      <w:proofErr w:type="spellStart"/>
      <w:r w:rsidR="00D80212" w:rsidRPr="00D80212">
        <w:t>Ипатовского</w:t>
      </w:r>
      <w:proofErr w:type="spellEnd"/>
      <w:r w:rsidR="00D80212" w:rsidRPr="00D80212">
        <w:t xml:space="preserve"> городского округа</w:t>
      </w:r>
      <w:r w:rsidRPr="00335C90">
        <w:t xml:space="preserve"> Ставропольского края за 20</w:t>
      </w:r>
      <w:r w:rsidR="00DC225C">
        <w:t>20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>- отчет о предоставлении и погашении бюджетных кредитов;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 предоставленных </w:t>
      </w:r>
      <w:r w:rsidR="00D80212">
        <w:t xml:space="preserve">муниципальных </w:t>
      </w:r>
      <w:r w:rsidRPr="00335C90">
        <w:t xml:space="preserve"> гарантиях </w:t>
      </w:r>
      <w:proofErr w:type="spellStart"/>
      <w:r w:rsidR="00D80212" w:rsidRPr="00D80212">
        <w:t>Ипатовского</w:t>
      </w:r>
      <w:proofErr w:type="spellEnd"/>
      <w:r w:rsidR="00D80212" w:rsidRPr="00D80212">
        <w:t xml:space="preserve"> городского округа </w:t>
      </w:r>
      <w:r w:rsidRPr="00335C90">
        <w:t>Ставропольского края за 20</w:t>
      </w:r>
      <w:r w:rsidR="00DC225C">
        <w:t>20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>- отчет о внутренних заимствованиях</w:t>
      </w:r>
      <w:r w:rsidR="0074714E">
        <w:t xml:space="preserve"> </w:t>
      </w:r>
      <w:proofErr w:type="spellStart"/>
      <w:r w:rsidR="0074714E" w:rsidRPr="0074714E">
        <w:t>Ипатовского</w:t>
      </w:r>
      <w:proofErr w:type="spellEnd"/>
      <w:r w:rsidR="0074714E" w:rsidRPr="0074714E">
        <w:t xml:space="preserve"> городского округа</w:t>
      </w:r>
      <w:r w:rsidRPr="00335C90">
        <w:t xml:space="preserve"> Ставропольского края по видам заимствований за 20</w:t>
      </w:r>
      <w:r w:rsidR="00DC225C">
        <w:t>20</w:t>
      </w:r>
      <w:r w:rsidRPr="00335C90">
        <w:t xml:space="preserve"> год;</w:t>
      </w:r>
    </w:p>
    <w:p w:rsidR="00335C90" w:rsidRPr="00335C90" w:rsidRDefault="00335C90" w:rsidP="006735B5">
      <w:pPr>
        <w:spacing w:line="240" w:lineRule="auto"/>
      </w:pPr>
      <w:r w:rsidRPr="00335C90">
        <w:t xml:space="preserve">- отчет о состоянии </w:t>
      </w:r>
      <w:r w:rsidR="0074714E">
        <w:t xml:space="preserve">муниципального </w:t>
      </w:r>
      <w:r w:rsidRPr="00335C90">
        <w:t xml:space="preserve">долга </w:t>
      </w:r>
      <w:proofErr w:type="spellStart"/>
      <w:r w:rsidR="0074714E" w:rsidRPr="0074714E">
        <w:t>Ипатовского</w:t>
      </w:r>
      <w:proofErr w:type="spellEnd"/>
      <w:r w:rsidR="0074714E" w:rsidRPr="0074714E">
        <w:t xml:space="preserve"> городского округа </w:t>
      </w:r>
      <w:r w:rsidRPr="00335C90">
        <w:t xml:space="preserve">Ставропольского края </w:t>
      </w:r>
      <w:r w:rsidRPr="00A0641C">
        <w:t xml:space="preserve">на </w:t>
      </w:r>
      <w:r w:rsidR="00A0641C" w:rsidRPr="00A0641C">
        <w:t xml:space="preserve">начало </w:t>
      </w:r>
      <w:r w:rsidRPr="00A0641C">
        <w:t xml:space="preserve"> и </w:t>
      </w:r>
      <w:r w:rsidR="00A0641C">
        <w:t>конец</w:t>
      </w:r>
      <w:r w:rsidRPr="00335C90">
        <w:t xml:space="preserve"> 20</w:t>
      </w:r>
      <w:r w:rsidR="00DC225C">
        <w:t>20</w:t>
      </w:r>
      <w:r w:rsidRPr="00335C90">
        <w:t xml:space="preserve"> года;</w:t>
      </w:r>
    </w:p>
    <w:p w:rsidR="00335C90" w:rsidRPr="00335C90" w:rsidRDefault="00335C90" w:rsidP="006735B5">
      <w:pPr>
        <w:spacing w:line="240" w:lineRule="auto"/>
      </w:pPr>
      <w:r w:rsidRPr="00335C90">
        <w:t xml:space="preserve">- сводные показатели использования земель, находящихся в собственности </w:t>
      </w:r>
      <w:proofErr w:type="spellStart"/>
      <w:r w:rsidR="0074714E" w:rsidRPr="0074714E">
        <w:t>Ипатовского</w:t>
      </w:r>
      <w:proofErr w:type="spellEnd"/>
      <w:r w:rsidR="0074714E" w:rsidRPr="0074714E">
        <w:t xml:space="preserve"> городского округа </w:t>
      </w:r>
      <w:r w:rsidR="0074714E">
        <w:t>Ставропольского края в 20</w:t>
      </w:r>
      <w:r w:rsidR="00DC225C">
        <w:t>20</w:t>
      </w:r>
      <w:r w:rsidRPr="00335C90">
        <w:t xml:space="preserve"> году;</w:t>
      </w:r>
    </w:p>
    <w:p w:rsidR="004F2447" w:rsidRDefault="00335C90" w:rsidP="006735B5">
      <w:pPr>
        <w:spacing w:line="240" w:lineRule="auto"/>
      </w:pPr>
      <w:r w:rsidRPr="00335C90">
        <w:lastRenderedPageBreak/>
        <w:t xml:space="preserve">- сводные показатели объектов </w:t>
      </w:r>
      <w:r w:rsidR="00BC4533">
        <w:t>муниципальной</w:t>
      </w:r>
      <w:r w:rsidRPr="00335C90">
        <w:t xml:space="preserve"> собственности </w:t>
      </w:r>
      <w:r w:rsidR="00BC4533">
        <w:t xml:space="preserve">и отчет о результатах приватизации объектов муниципальной собственности </w:t>
      </w:r>
      <w:proofErr w:type="spellStart"/>
      <w:r w:rsidR="00BC4533" w:rsidRPr="00BC4533">
        <w:t>Ипатовского</w:t>
      </w:r>
      <w:proofErr w:type="spellEnd"/>
      <w:r w:rsidR="00BC4533" w:rsidRPr="00BC4533">
        <w:t xml:space="preserve"> городского округа </w:t>
      </w:r>
      <w:r w:rsidR="00BC4533">
        <w:t xml:space="preserve"> </w:t>
      </w:r>
      <w:r w:rsidRPr="00335C90">
        <w:t>Ставропольского края за 20</w:t>
      </w:r>
      <w:r w:rsidR="00DC225C">
        <w:t>20</w:t>
      </w:r>
      <w:r w:rsidRPr="00335C90">
        <w:t xml:space="preserve"> год</w:t>
      </w:r>
      <w:r w:rsidR="004F2447">
        <w:t>;</w:t>
      </w:r>
    </w:p>
    <w:p w:rsidR="00335C90" w:rsidRPr="00335C90" w:rsidRDefault="00A84034" w:rsidP="006735B5">
      <w:pPr>
        <w:spacing w:line="240" w:lineRule="auto"/>
      </w:pPr>
      <w:r>
        <w:t>- о</w:t>
      </w:r>
      <w:r w:rsidR="004F2447">
        <w:t xml:space="preserve">тчет об использовании бюджетных ассигнований дорожного фонда </w:t>
      </w:r>
      <w:proofErr w:type="spellStart"/>
      <w:r w:rsidR="004F2447" w:rsidRPr="004F2447">
        <w:t>Ипатовского</w:t>
      </w:r>
      <w:proofErr w:type="spellEnd"/>
      <w:r w:rsidR="004F2447" w:rsidRPr="004F2447">
        <w:t xml:space="preserve"> городского окру</w:t>
      </w:r>
      <w:r w:rsidR="006C23DF">
        <w:t>га  Ставропольского края за 20</w:t>
      </w:r>
      <w:r w:rsidR="007E64FD">
        <w:t>20</w:t>
      </w:r>
      <w:r w:rsidR="004F2447" w:rsidRPr="004F2447">
        <w:t xml:space="preserve"> год</w:t>
      </w:r>
      <w:r w:rsidR="00335C90" w:rsidRPr="00335C90">
        <w:t>.</w:t>
      </w:r>
    </w:p>
    <w:p w:rsidR="00335C90" w:rsidRDefault="000137A6" w:rsidP="006735B5">
      <w:pPr>
        <w:spacing w:line="240" w:lineRule="auto"/>
      </w:pPr>
      <w:proofErr w:type="gramStart"/>
      <w:r>
        <w:t>Р</w:t>
      </w:r>
      <w:r w:rsidR="004F2447" w:rsidRPr="004F2447">
        <w:t xml:space="preserve">ешением Думы </w:t>
      </w:r>
      <w:proofErr w:type="spellStart"/>
      <w:r w:rsidR="004F2447" w:rsidRPr="004F2447">
        <w:t>Ипатовского</w:t>
      </w:r>
      <w:proofErr w:type="spellEnd"/>
      <w:r w:rsidR="004F2447" w:rsidRPr="004F2447">
        <w:t xml:space="preserve"> городского округа Ставропольского края (далее – Думы ИГО СК) от </w:t>
      </w:r>
      <w:r w:rsidR="00E76829">
        <w:t>1</w:t>
      </w:r>
      <w:r w:rsidR="005431EF">
        <w:t>7</w:t>
      </w:r>
      <w:r w:rsidR="004F2447" w:rsidRPr="004F2447">
        <w:t>.12.201</w:t>
      </w:r>
      <w:r w:rsidR="005431EF">
        <w:t>9</w:t>
      </w:r>
      <w:r w:rsidR="004F2447" w:rsidRPr="004F2447">
        <w:t xml:space="preserve"> г</w:t>
      </w:r>
      <w:r w:rsidR="005B02A9">
        <w:t>.</w:t>
      </w:r>
      <w:r w:rsidR="004F2447" w:rsidRPr="004F2447">
        <w:t xml:space="preserve">  № </w:t>
      </w:r>
      <w:r w:rsidR="005431EF">
        <w:t>117</w:t>
      </w:r>
      <w:r w:rsidR="004F2447" w:rsidRPr="004F2447">
        <w:t xml:space="preserve"> «О бюджете </w:t>
      </w:r>
      <w:proofErr w:type="spellStart"/>
      <w:r w:rsidR="004F2447" w:rsidRPr="004F2447">
        <w:t>Ипатовского</w:t>
      </w:r>
      <w:proofErr w:type="spellEnd"/>
      <w:r w:rsidR="004F2447" w:rsidRPr="004F2447">
        <w:t xml:space="preserve"> городского округа Ставропольского края на 20</w:t>
      </w:r>
      <w:r w:rsidR="005431EF">
        <w:t>20</w:t>
      </w:r>
      <w:r w:rsidR="004F2447" w:rsidRPr="004F2447">
        <w:t xml:space="preserve"> год и плановый период 20</w:t>
      </w:r>
      <w:r w:rsidR="00351311">
        <w:t>2</w:t>
      </w:r>
      <w:r w:rsidR="005431EF">
        <w:t>1</w:t>
      </w:r>
      <w:r w:rsidR="004F2447" w:rsidRPr="004F2447">
        <w:t xml:space="preserve"> и 202</w:t>
      </w:r>
      <w:r w:rsidR="005431EF">
        <w:t>2</w:t>
      </w:r>
      <w:r w:rsidR="004F2447" w:rsidRPr="004F2447">
        <w:t xml:space="preserve"> годов» </w:t>
      </w:r>
      <w:r w:rsidR="00335C90" w:rsidRPr="00335C90">
        <w:t xml:space="preserve">(далее – </w:t>
      </w:r>
      <w:r w:rsidR="002E404E">
        <w:t xml:space="preserve">решение от 17.12.2019 г. № 117, </w:t>
      </w:r>
      <w:r w:rsidR="003B4567">
        <w:t>решение</w:t>
      </w:r>
      <w:r w:rsidR="00335C90" w:rsidRPr="00335C90">
        <w:t xml:space="preserve"> о </w:t>
      </w:r>
      <w:r w:rsidR="003B4567">
        <w:t>местном</w:t>
      </w:r>
      <w:r w:rsidR="00335C90" w:rsidRPr="00335C90">
        <w:t xml:space="preserve"> бюджете) первоначально утверждено </w:t>
      </w:r>
      <w:r w:rsidR="006C23DF">
        <w:t xml:space="preserve">9 </w:t>
      </w:r>
      <w:r w:rsidR="00335C90" w:rsidRPr="00335C90">
        <w:t xml:space="preserve">главных распорядителей бюджетных средств (далее – ГРБС, </w:t>
      </w:r>
      <w:r w:rsidR="004147D9">
        <w:t xml:space="preserve">главный распорядитель, </w:t>
      </w:r>
      <w:r w:rsidR="00335C90" w:rsidRPr="00335C90">
        <w:t>субъект бюджетной отчетности)</w:t>
      </w:r>
      <w:r w:rsidR="004147D9">
        <w:t>, которые одновременно являлись г</w:t>
      </w:r>
      <w:r w:rsidR="00335C90" w:rsidRPr="00335C90">
        <w:t>лавными</w:t>
      </w:r>
      <w:proofErr w:type="gramEnd"/>
      <w:r w:rsidR="00335C90" w:rsidRPr="00335C90">
        <w:t xml:space="preserve"> администраторами доходов бюджета </w:t>
      </w:r>
      <w:proofErr w:type="spellStart"/>
      <w:r w:rsidR="00525FF3" w:rsidRPr="00525FF3">
        <w:t>Ипатовского</w:t>
      </w:r>
      <w:proofErr w:type="spellEnd"/>
      <w:r w:rsidR="00525FF3" w:rsidRPr="00525FF3">
        <w:t xml:space="preserve"> городского округа </w:t>
      </w:r>
      <w:r w:rsidR="00335C90" w:rsidRPr="00335C90">
        <w:t>Ставропольского края</w:t>
      </w:r>
      <w:r w:rsidR="004147D9">
        <w:t xml:space="preserve">. </w:t>
      </w:r>
      <w:r w:rsidR="00335C90" w:rsidRPr="007F218A">
        <w:t>Функции администратор</w:t>
      </w:r>
      <w:r w:rsidR="007F218A" w:rsidRPr="007F218A">
        <w:t>а</w:t>
      </w:r>
      <w:r w:rsidR="00335C90" w:rsidRPr="007F218A">
        <w:t xml:space="preserve"> источников финансирования дефицита </w:t>
      </w:r>
      <w:r w:rsidR="0034558D" w:rsidRPr="007F218A">
        <w:t>местного</w:t>
      </w:r>
      <w:r w:rsidR="00335C90" w:rsidRPr="007F218A">
        <w:t xml:space="preserve"> бюджета</w:t>
      </w:r>
      <w:r w:rsidR="00335C90" w:rsidRPr="00335C90">
        <w:t xml:space="preserve"> (далее – ГАИФД) выполнял</w:t>
      </w:r>
      <w:r w:rsidR="0034558D">
        <w:t>о</w:t>
      </w:r>
      <w:r w:rsidR="00335C90" w:rsidRPr="00335C90">
        <w:t xml:space="preserve"> </w:t>
      </w:r>
      <w:r w:rsidR="0034558D">
        <w:t xml:space="preserve">финансовое управление администрации </w:t>
      </w:r>
      <w:proofErr w:type="spellStart"/>
      <w:r w:rsidR="0034558D">
        <w:t>Ипатовского</w:t>
      </w:r>
      <w:proofErr w:type="spellEnd"/>
      <w:r w:rsidR="0034558D">
        <w:t xml:space="preserve"> городского округа</w:t>
      </w:r>
      <w:r w:rsidR="00335C90" w:rsidRPr="00335C90">
        <w:t xml:space="preserve"> Ставропольского края.</w:t>
      </w:r>
    </w:p>
    <w:p w:rsidR="006735B5" w:rsidRDefault="006735B5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основных характеристик исполнения бюджета </w:t>
      </w:r>
      <w:proofErr w:type="spellStart"/>
      <w:r w:rsidR="00082EA0" w:rsidRPr="00082EA0">
        <w:rPr>
          <w:b/>
          <w:bCs/>
        </w:rPr>
        <w:t>Ипатовского</w:t>
      </w:r>
      <w:proofErr w:type="spellEnd"/>
      <w:r w:rsidR="00082EA0" w:rsidRPr="00082EA0">
        <w:rPr>
          <w:b/>
          <w:bCs/>
        </w:rPr>
        <w:t xml:space="preserve">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 xml:space="preserve">Первоначально бюджет </w:t>
      </w:r>
      <w:proofErr w:type="spellStart"/>
      <w:r w:rsidR="00082EA0" w:rsidRPr="00082EA0">
        <w:t>Ипатовского</w:t>
      </w:r>
      <w:proofErr w:type="spellEnd"/>
      <w:r w:rsidR="00082EA0" w:rsidRPr="00082EA0">
        <w:t xml:space="preserve"> городского округа </w:t>
      </w:r>
      <w:r w:rsidRPr="00335C90">
        <w:t>Ставропольского края на 20</w:t>
      </w:r>
      <w:r w:rsidR="005431EF">
        <w:t>20</w:t>
      </w:r>
      <w:r w:rsidRPr="00335C90">
        <w:t xml:space="preserve"> год утвержден по доходам в сумме </w:t>
      </w:r>
      <w:r w:rsidR="00C4741E">
        <w:t>1659274,11</w:t>
      </w:r>
      <w:r w:rsidR="00082EA0" w:rsidRPr="00082EA0">
        <w:t xml:space="preserve"> </w:t>
      </w:r>
      <w:r w:rsidRPr="00335C90">
        <w:t xml:space="preserve">тыс. рублей, расходам – </w:t>
      </w:r>
      <w:r w:rsidR="00C4741E">
        <w:t>1659274,11</w:t>
      </w:r>
      <w:r w:rsidR="00082EA0" w:rsidRPr="00082EA0">
        <w:t xml:space="preserve"> </w:t>
      </w:r>
      <w:r w:rsidRPr="00335C90">
        <w:t xml:space="preserve">тыс. рублей, с прогнозируемым дефицитом – </w:t>
      </w:r>
      <w:r w:rsidR="00D27B57">
        <w:t xml:space="preserve">             </w:t>
      </w:r>
      <w:r w:rsidR="00082EA0">
        <w:t>0,00</w:t>
      </w:r>
      <w:r w:rsidRPr="00335C90">
        <w:t xml:space="preserve"> тыс. рублей. Верхний предел </w:t>
      </w:r>
      <w:r w:rsidR="00363372" w:rsidRPr="00363372">
        <w:t xml:space="preserve">муниципального долга </w:t>
      </w:r>
      <w:proofErr w:type="spellStart"/>
      <w:r w:rsidR="00363372" w:rsidRPr="00363372">
        <w:t>Ипатовского</w:t>
      </w:r>
      <w:proofErr w:type="spellEnd"/>
      <w:r w:rsidR="00363372" w:rsidRPr="00363372">
        <w:t xml:space="preserve"> городского округа Ставропольского края</w:t>
      </w:r>
      <w:r w:rsidRPr="00335C90">
        <w:t xml:space="preserve"> на 01.01.20</w:t>
      </w:r>
      <w:r w:rsidR="005D19EF">
        <w:t>2</w:t>
      </w:r>
      <w:r w:rsidR="00C4741E">
        <w:t>1</w:t>
      </w:r>
      <w:r w:rsidR="00BF2935">
        <w:t xml:space="preserve"> </w:t>
      </w:r>
      <w:r w:rsidR="00BF2935" w:rsidRPr="00650A5E">
        <w:t>г</w:t>
      </w:r>
      <w:r w:rsidR="00235106">
        <w:t>.</w:t>
      </w:r>
      <w:r w:rsidRPr="00335C90">
        <w:t xml:space="preserve"> установлен в сумме </w:t>
      </w:r>
      <w:r w:rsidR="00363372">
        <w:t>0,0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>В течение финансового года в первоначально принят</w:t>
      </w:r>
      <w:r w:rsidR="00812A7C">
        <w:t xml:space="preserve">ое </w:t>
      </w:r>
      <w:r w:rsidRPr="00335C90">
        <w:t xml:space="preserve"> </w:t>
      </w:r>
      <w:r w:rsidR="00812A7C">
        <w:t>решение</w:t>
      </w:r>
      <w:r w:rsidRPr="00335C90">
        <w:t xml:space="preserve"> о </w:t>
      </w:r>
      <w:r w:rsidR="00812A7C">
        <w:t>местном</w:t>
      </w:r>
      <w:r w:rsidRPr="00335C90">
        <w:t xml:space="preserve"> бюджете </w:t>
      </w:r>
      <w:r w:rsidR="00C4741E">
        <w:t>семь</w:t>
      </w:r>
      <w:r w:rsidRPr="00335C90">
        <w:t xml:space="preserve"> раз вносились изменения (</w:t>
      </w:r>
      <w:r w:rsidR="00812A7C" w:rsidRPr="00812A7C">
        <w:t xml:space="preserve">решениями Думы ИГО СК </w:t>
      </w:r>
      <w:r w:rsidR="004C1062" w:rsidRPr="004C1062">
        <w:t>от 0</w:t>
      </w:r>
      <w:r w:rsidR="00C4741E">
        <w:t xml:space="preserve">9 января </w:t>
      </w:r>
      <w:r w:rsidR="004C1062" w:rsidRPr="004C1062">
        <w:t xml:space="preserve"> 20</w:t>
      </w:r>
      <w:r w:rsidR="00C4741E">
        <w:t>20</w:t>
      </w:r>
      <w:r w:rsidR="004C1062" w:rsidRPr="004C1062">
        <w:t xml:space="preserve"> г. № </w:t>
      </w:r>
      <w:r w:rsidR="00C4741E">
        <w:t>1</w:t>
      </w:r>
      <w:r w:rsidR="004C1062" w:rsidRPr="004C1062">
        <w:t xml:space="preserve">, от </w:t>
      </w:r>
      <w:r w:rsidR="00C4741E">
        <w:t>13</w:t>
      </w:r>
      <w:r w:rsidR="004C1062" w:rsidRPr="004C1062">
        <w:t xml:space="preserve"> </w:t>
      </w:r>
      <w:r w:rsidR="00C4741E">
        <w:t>марта</w:t>
      </w:r>
      <w:r w:rsidR="004C1062" w:rsidRPr="004C1062">
        <w:t xml:space="preserve"> 20</w:t>
      </w:r>
      <w:r w:rsidR="00C4741E">
        <w:t>20</w:t>
      </w:r>
      <w:r w:rsidR="004C1062" w:rsidRPr="004C1062">
        <w:t xml:space="preserve"> г. № </w:t>
      </w:r>
      <w:r w:rsidR="00C4741E">
        <w:t>15</w:t>
      </w:r>
      <w:r w:rsidR="004C1062" w:rsidRPr="004C1062">
        <w:t>, от 2</w:t>
      </w:r>
      <w:r w:rsidR="002B52EF">
        <w:t>7</w:t>
      </w:r>
      <w:r w:rsidR="004C1062" w:rsidRPr="004C1062">
        <w:t xml:space="preserve"> </w:t>
      </w:r>
      <w:r w:rsidR="002B52EF">
        <w:t xml:space="preserve">апреля </w:t>
      </w:r>
      <w:r w:rsidR="004C1062" w:rsidRPr="004C1062">
        <w:t xml:space="preserve"> 20</w:t>
      </w:r>
      <w:r w:rsidR="002B52EF">
        <w:t>20</w:t>
      </w:r>
      <w:r w:rsidR="004C1062" w:rsidRPr="004C1062">
        <w:t xml:space="preserve"> г. № </w:t>
      </w:r>
      <w:r w:rsidR="00EC1A78">
        <w:t>50</w:t>
      </w:r>
      <w:r w:rsidR="004C1062" w:rsidRPr="004C1062">
        <w:t xml:space="preserve">, от </w:t>
      </w:r>
      <w:r w:rsidR="00EC1A78">
        <w:t>04</w:t>
      </w:r>
      <w:r w:rsidR="004C1062" w:rsidRPr="004C1062">
        <w:t xml:space="preserve"> </w:t>
      </w:r>
      <w:r w:rsidR="00EC1A78">
        <w:t>сентя</w:t>
      </w:r>
      <w:r w:rsidR="004C1062" w:rsidRPr="004C1062">
        <w:t xml:space="preserve">бря </w:t>
      </w:r>
      <w:r w:rsidR="00A84034">
        <w:t xml:space="preserve">  </w:t>
      </w:r>
      <w:r w:rsidR="004C1062" w:rsidRPr="004C1062">
        <w:t>20</w:t>
      </w:r>
      <w:r w:rsidR="00EC1A78">
        <w:t>20</w:t>
      </w:r>
      <w:r w:rsidR="004C1062" w:rsidRPr="004C1062">
        <w:t xml:space="preserve"> г. № </w:t>
      </w:r>
      <w:r w:rsidR="00EC1A78">
        <w:t>98</w:t>
      </w:r>
      <w:r w:rsidR="00A21826">
        <w:t xml:space="preserve">, от </w:t>
      </w:r>
      <w:r w:rsidR="00EC1A78">
        <w:t>08</w:t>
      </w:r>
      <w:r w:rsidR="00A21826">
        <w:t xml:space="preserve"> </w:t>
      </w:r>
      <w:r w:rsidR="00EC1A78">
        <w:t>октя</w:t>
      </w:r>
      <w:r w:rsidR="00A21826">
        <w:t>бря 20</w:t>
      </w:r>
      <w:r w:rsidR="00EC1A78">
        <w:t>20</w:t>
      </w:r>
      <w:r w:rsidR="00A21826">
        <w:t xml:space="preserve"> г. № 1</w:t>
      </w:r>
      <w:r w:rsidR="00EC1A78">
        <w:t xml:space="preserve">17, от 24 ноября 2020 г. </w:t>
      </w:r>
      <w:r w:rsidR="00D27B57">
        <w:t xml:space="preserve">   </w:t>
      </w:r>
      <w:r w:rsidR="00EC1A78">
        <w:t>№ 144, от 15 декабря 2020 г</w:t>
      </w:r>
      <w:proofErr w:type="gramEnd"/>
      <w:r w:rsidR="00EC1A78">
        <w:t>. № 151</w:t>
      </w:r>
      <w:r w:rsidRPr="00335C90">
        <w:t>), с одновременной корректировкой основных характеристик бюджета.</w:t>
      </w:r>
    </w:p>
    <w:p w:rsidR="00335C90" w:rsidRPr="00335C90" w:rsidRDefault="00335C90" w:rsidP="006735B5">
      <w:pPr>
        <w:spacing w:line="240" w:lineRule="auto"/>
      </w:pPr>
      <w:r w:rsidRPr="00335C90">
        <w:t xml:space="preserve">Анализ изменения основных параметров бюджета </w:t>
      </w:r>
      <w:proofErr w:type="spellStart"/>
      <w:r w:rsidR="009C0EC5" w:rsidRPr="009C0EC5">
        <w:t>Ипатовского</w:t>
      </w:r>
      <w:proofErr w:type="spellEnd"/>
      <w:r w:rsidR="009C0EC5" w:rsidRPr="009C0EC5">
        <w:t xml:space="preserve"> городского округа </w:t>
      </w:r>
      <w:r w:rsidRPr="00335C90">
        <w:t>Ставропольского края и их исполнение приведены в следующей таблице:</w:t>
      </w:r>
    </w:p>
    <w:p w:rsidR="00335C90" w:rsidRDefault="00335C90" w:rsidP="006735B5">
      <w:pPr>
        <w:spacing w:line="240" w:lineRule="auto"/>
        <w:jc w:val="right"/>
      </w:pPr>
      <w:r w:rsidRPr="00335C90">
        <w:t>тыс. рублей</w:t>
      </w:r>
    </w:p>
    <w:p w:rsidR="002B7802" w:rsidRPr="00335C90" w:rsidRDefault="005431EF" w:rsidP="006735B5">
      <w:pPr>
        <w:spacing w:line="240" w:lineRule="auto"/>
        <w:ind w:firstLine="0"/>
      </w:pPr>
      <w:r w:rsidRPr="005431EF">
        <w:rPr>
          <w:noProof/>
        </w:rPr>
        <w:drawing>
          <wp:inline distT="0" distB="0" distL="0" distR="0" wp14:anchorId="0653A571" wp14:editId="51FE8F1B">
            <wp:extent cx="6134100" cy="1019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90" w:rsidRPr="00335C90" w:rsidRDefault="00335C90" w:rsidP="006735B5">
      <w:pPr>
        <w:spacing w:line="240" w:lineRule="auto"/>
      </w:pPr>
      <w:r w:rsidRPr="00335C90">
        <w:t xml:space="preserve">В результате внесенных изменений в основные характеристики бюджета, уточненные назначения утверждены по доходам в сумме </w:t>
      </w:r>
      <w:r w:rsidR="00D27B57">
        <w:t xml:space="preserve">                     </w:t>
      </w:r>
      <w:r w:rsidR="00764BE3">
        <w:t>1940512,14</w:t>
      </w:r>
      <w:r w:rsidRPr="00335C90">
        <w:t xml:space="preserve"> тыс. рублей, что на </w:t>
      </w:r>
      <w:r w:rsidR="00676F22">
        <w:t>256141,26</w:t>
      </w:r>
      <w:r w:rsidRPr="00335C90">
        <w:t xml:space="preserve"> тыс. рублей или на </w:t>
      </w:r>
      <w:r w:rsidR="00676F22">
        <w:t>15,4</w:t>
      </w:r>
      <w:r w:rsidRPr="00335C90">
        <w:t xml:space="preserve">% </w:t>
      </w:r>
      <w:r w:rsidR="00676F22">
        <w:t>выше</w:t>
      </w:r>
      <w:r w:rsidRPr="00335C90">
        <w:t xml:space="preserve"> первоначально утвержденного показателя; по расходам – в сумме </w:t>
      </w:r>
      <w:r w:rsidR="005A2C54">
        <w:t xml:space="preserve">      </w:t>
      </w:r>
      <w:r w:rsidR="00676F22">
        <w:t>2092281,24</w:t>
      </w:r>
      <w:r w:rsidRPr="00335C90">
        <w:t xml:space="preserve"> тыс. рублей, что на </w:t>
      </w:r>
      <w:r w:rsidR="00676F22">
        <w:t>293462,80</w:t>
      </w:r>
      <w:r w:rsidRPr="00335C90">
        <w:t xml:space="preserve"> тыс. рублей или на </w:t>
      </w:r>
      <w:r w:rsidR="00022671">
        <w:t>17,7</w:t>
      </w:r>
      <w:r w:rsidR="00B10FCC">
        <w:t xml:space="preserve"> </w:t>
      </w:r>
      <w:r w:rsidRPr="00335C90">
        <w:t xml:space="preserve">% выше </w:t>
      </w:r>
      <w:r w:rsidRPr="00335C90">
        <w:lastRenderedPageBreak/>
        <w:t xml:space="preserve">первоначально утвержденных назначений. Уточненный размер дефицита </w:t>
      </w:r>
      <w:r w:rsidR="00D56B3B">
        <w:t>местного</w:t>
      </w:r>
      <w:r w:rsidRPr="00335C90">
        <w:t xml:space="preserve"> бюджета утвержден в сумме </w:t>
      </w:r>
      <w:r w:rsidR="00022671">
        <w:t>151769,10</w:t>
      </w:r>
      <w:r w:rsidRPr="00335C90">
        <w:t xml:space="preserve"> тыс. рублей или </w:t>
      </w:r>
      <w:r w:rsidR="00455D72">
        <w:t>36,9</w:t>
      </w:r>
      <w:r w:rsidR="00E47AC7">
        <w:t xml:space="preserve"> </w:t>
      </w:r>
      <w:r w:rsidRPr="00335C90">
        <w:t xml:space="preserve">% к объему назначений по доходам без учета безвозмездных поступлений, что соответствует ограничениям, установленным </w:t>
      </w:r>
      <w:r w:rsidR="00F051FC" w:rsidRPr="00F051FC">
        <w:t>абзац</w:t>
      </w:r>
      <w:r w:rsidR="00EC76A0">
        <w:t>ем</w:t>
      </w:r>
      <w:r w:rsidR="00F051FC" w:rsidRPr="00F051FC">
        <w:t xml:space="preserve"> 3 пункта 3 статьи 92.1. </w:t>
      </w:r>
      <w:r w:rsidRPr="00335C90">
        <w:t>БК РФ.</w:t>
      </w:r>
    </w:p>
    <w:p w:rsidR="00335C90" w:rsidRPr="00335C90" w:rsidRDefault="00335C90" w:rsidP="006735B5">
      <w:pPr>
        <w:spacing w:line="240" w:lineRule="auto"/>
      </w:pPr>
      <w:r w:rsidRPr="00335C90">
        <w:t xml:space="preserve">Плановое значение верхнего предела </w:t>
      </w:r>
      <w:r w:rsidR="00F9743A">
        <w:t>муниципального</w:t>
      </w:r>
      <w:r w:rsidRPr="00335C90">
        <w:t xml:space="preserve"> </w:t>
      </w:r>
      <w:r w:rsidR="007B37B1">
        <w:t>долга на 01.01.20</w:t>
      </w:r>
      <w:r w:rsidR="008A5BE4">
        <w:t>2</w:t>
      </w:r>
      <w:r w:rsidR="00455D72">
        <w:t>1</w:t>
      </w:r>
      <w:r w:rsidR="007B37B1" w:rsidRPr="00650A5E">
        <w:t>г.</w:t>
      </w:r>
      <w:r w:rsidR="007B37B1">
        <w:t xml:space="preserve"> </w:t>
      </w:r>
      <w:r w:rsidRPr="00335C90">
        <w:t xml:space="preserve"> по долговым обязательствам </w:t>
      </w:r>
      <w:proofErr w:type="spellStart"/>
      <w:r w:rsidR="007B37B1">
        <w:t>Ипатовского</w:t>
      </w:r>
      <w:proofErr w:type="spellEnd"/>
      <w:r w:rsidR="007B37B1">
        <w:t xml:space="preserve"> городского округа </w:t>
      </w:r>
      <w:r w:rsidRPr="00335C90">
        <w:t xml:space="preserve">Ставропольского края утверждено в сумме </w:t>
      </w:r>
      <w:r w:rsidR="007B37B1">
        <w:t>0,00</w:t>
      </w:r>
      <w:r w:rsidRPr="00335C90">
        <w:t xml:space="preserve"> тыс. рублей</w:t>
      </w:r>
      <w:r w:rsidR="007B37B1">
        <w:t>.</w:t>
      </w:r>
    </w:p>
    <w:p w:rsidR="00E9170C" w:rsidRDefault="00335C90" w:rsidP="006735B5">
      <w:pPr>
        <w:spacing w:line="240" w:lineRule="auto"/>
      </w:pPr>
      <w:r w:rsidRPr="00335C90">
        <w:t xml:space="preserve">Фактически по данным годового отчета об исполнении </w:t>
      </w:r>
      <w:r w:rsidR="007B37B1">
        <w:t xml:space="preserve">местного </w:t>
      </w:r>
      <w:r w:rsidRPr="00335C90">
        <w:t xml:space="preserve">бюджета в доходную часть поступило </w:t>
      </w:r>
      <w:r w:rsidR="006949FD">
        <w:t>1915415,37</w:t>
      </w:r>
      <w:r w:rsidR="00D27B57">
        <w:t xml:space="preserve"> </w:t>
      </w:r>
      <w:r w:rsidRPr="00335C90">
        <w:t xml:space="preserve">тыс. рублей, что на </w:t>
      </w:r>
      <w:r w:rsidR="00F12DDF">
        <w:t>1</w:t>
      </w:r>
      <w:r w:rsidR="006949FD">
        <w:t xml:space="preserve">,3 </w:t>
      </w:r>
      <w:r w:rsidRPr="00335C90">
        <w:t xml:space="preserve">% </w:t>
      </w:r>
      <w:r w:rsidR="006949FD">
        <w:t>ниже</w:t>
      </w:r>
      <w:r w:rsidRPr="00335C90">
        <w:t xml:space="preserve"> уточненного планового показателя. </w:t>
      </w:r>
    </w:p>
    <w:p w:rsidR="001172CB" w:rsidRDefault="001172CB" w:rsidP="006735B5">
      <w:pPr>
        <w:spacing w:line="240" w:lineRule="auto"/>
      </w:pPr>
      <w:r w:rsidRPr="001172CB">
        <w:t xml:space="preserve">Расходная часть бюджета исполнена в сумме 1952736,91 тыс. рублей или </w:t>
      </w:r>
      <w:r>
        <w:t>93,3</w:t>
      </w:r>
      <w:r w:rsidRPr="001172CB">
        <w:t xml:space="preserve">% годового плана, утвержденного </w:t>
      </w:r>
      <w:r>
        <w:t>решением</w:t>
      </w:r>
      <w:r w:rsidRPr="001172CB">
        <w:t xml:space="preserve"> о </w:t>
      </w:r>
      <w:r>
        <w:t>местном</w:t>
      </w:r>
      <w:r w:rsidRPr="001172CB">
        <w:t xml:space="preserve"> бюджете. Объем неисполненных бюджетных назначений составил </w:t>
      </w:r>
      <w:r w:rsidR="00F86665">
        <w:t>293462,80</w:t>
      </w:r>
      <w:r w:rsidRPr="001172CB">
        <w:t xml:space="preserve"> тыс. рублей от утвержденных назначений </w:t>
      </w:r>
      <w:r w:rsidR="002E404E" w:rsidRPr="002E404E">
        <w:t>решение</w:t>
      </w:r>
      <w:r w:rsidR="002E404E">
        <w:t>м</w:t>
      </w:r>
      <w:r w:rsidR="002E404E" w:rsidRPr="002E404E">
        <w:t xml:space="preserve"> от 17.12.2019г. № 117</w:t>
      </w:r>
      <w:r w:rsidR="002E404E">
        <w:t xml:space="preserve"> </w:t>
      </w:r>
      <w:r w:rsidRPr="001172CB">
        <w:t xml:space="preserve">и </w:t>
      </w:r>
      <w:r w:rsidR="00BC24B1">
        <w:t>136816,05</w:t>
      </w:r>
      <w:r w:rsidRPr="001172CB">
        <w:t xml:space="preserve"> тыс. рублей от показателей сводной бюджетной росписи бюджета </w:t>
      </w:r>
      <w:proofErr w:type="spellStart"/>
      <w:r w:rsidR="00F86665">
        <w:t>Ипатовского</w:t>
      </w:r>
      <w:proofErr w:type="spellEnd"/>
      <w:r w:rsidR="00F86665">
        <w:t xml:space="preserve"> городского округа </w:t>
      </w:r>
      <w:r w:rsidRPr="001172CB">
        <w:t>Ставропольского края (</w:t>
      </w:r>
      <w:r w:rsidR="00BC24B1">
        <w:t>2089552,97</w:t>
      </w:r>
      <w:r w:rsidRPr="001172CB">
        <w:t xml:space="preserve"> тыс. рублей).</w:t>
      </w:r>
    </w:p>
    <w:p w:rsidR="00335C90" w:rsidRDefault="00335C90" w:rsidP="006735B5">
      <w:pPr>
        <w:spacing w:line="240" w:lineRule="auto"/>
      </w:pPr>
      <w:r w:rsidRPr="00335C90">
        <w:t xml:space="preserve">С учетом сложившегося исполнения по доходам и расходам, при утвержденном плановом дефиците в сумме </w:t>
      </w:r>
      <w:r w:rsidR="008063F5">
        <w:t>151769,10</w:t>
      </w:r>
      <w:r w:rsidRPr="00335C90">
        <w:t xml:space="preserve"> тыс. рублей, фактически </w:t>
      </w:r>
      <w:r w:rsidR="001C62F0">
        <w:t>местный</w:t>
      </w:r>
      <w:r w:rsidRPr="00335C90">
        <w:t xml:space="preserve"> бюджет исполнен с </w:t>
      </w:r>
      <w:r w:rsidR="001D66CE">
        <w:t>дефицитом</w:t>
      </w:r>
      <w:r w:rsidRPr="00335C90">
        <w:t xml:space="preserve"> в сумме </w:t>
      </w:r>
      <w:r w:rsidR="00FF772C">
        <w:t>37321,54</w:t>
      </w:r>
      <w:r w:rsidRPr="00335C90">
        <w:t xml:space="preserve"> тыс. рублей</w:t>
      </w:r>
      <w:r w:rsidR="00D70A33" w:rsidRPr="00D70A33">
        <w:t>, что соответствует ограничениям, установленным пункт</w:t>
      </w:r>
      <w:r w:rsidR="00B24BCF">
        <w:t>ом</w:t>
      </w:r>
      <w:r w:rsidR="00D70A33" w:rsidRPr="00D70A33">
        <w:t xml:space="preserve"> </w:t>
      </w:r>
      <w:r w:rsidR="00B24BCF">
        <w:t>4</w:t>
      </w:r>
      <w:r w:rsidR="00D70A33" w:rsidRPr="00D70A33">
        <w:t xml:space="preserve"> статьи 92.1. БК РФ.</w:t>
      </w:r>
    </w:p>
    <w:p w:rsidR="006735B5" w:rsidRPr="00335C90" w:rsidRDefault="006735B5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исполнения доходной части бюджета </w:t>
      </w:r>
      <w:proofErr w:type="spellStart"/>
      <w:r w:rsidR="00CD32B5">
        <w:rPr>
          <w:b/>
          <w:bCs/>
        </w:rPr>
        <w:t>Ипатовского</w:t>
      </w:r>
      <w:proofErr w:type="spellEnd"/>
      <w:r w:rsidR="00CD32B5">
        <w:rPr>
          <w:b/>
          <w:bCs/>
        </w:rPr>
        <w:t xml:space="preserve"> городского округа </w:t>
      </w:r>
      <w:r w:rsidRPr="00335C90">
        <w:rPr>
          <w:b/>
          <w:bCs/>
        </w:rPr>
        <w:t xml:space="preserve">Ставропольского края </w:t>
      </w:r>
    </w:p>
    <w:p w:rsidR="00335C90" w:rsidRPr="00335C90" w:rsidRDefault="00335C90" w:rsidP="006735B5">
      <w:pPr>
        <w:spacing w:line="240" w:lineRule="auto"/>
      </w:pPr>
      <w:r w:rsidRPr="00335C90">
        <w:t xml:space="preserve">Первоначальный объем доходов бюджета </w:t>
      </w:r>
      <w:proofErr w:type="spellStart"/>
      <w:r w:rsidR="007429A9">
        <w:t>Ипатовского</w:t>
      </w:r>
      <w:proofErr w:type="spellEnd"/>
      <w:r w:rsidR="007429A9">
        <w:t xml:space="preserve"> городского округа </w:t>
      </w:r>
      <w:r w:rsidRPr="00335C90">
        <w:t xml:space="preserve">Ставропольского края утвержден </w:t>
      </w:r>
      <w:r w:rsidR="007429A9">
        <w:t xml:space="preserve">решением </w:t>
      </w:r>
      <w:r w:rsidR="005A2C6E" w:rsidRPr="005A2C6E">
        <w:t>от 17.12.2019 г. № 117</w:t>
      </w:r>
      <w:r w:rsidR="005A2C6E">
        <w:t xml:space="preserve"> </w:t>
      </w:r>
      <w:r w:rsidRPr="00335C90">
        <w:t xml:space="preserve">в сумме </w:t>
      </w:r>
      <w:r w:rsidR="00441CB7">
        <w:t>1659274,11</w:t>
      </w:r>
      <w:r w:rsidRPr="00335C90">
        <w:t xml:space="preserve"> тыс. рублей.</w:t>
      </w:r>
    </w:p>
    <w:p w:rsidR="00BC6E54" w:rsidRDefault="00335C90" w:rsidP="006735B5">
      <w:pPr>
        <w:spacing w:line="240" w:lineRule="auto"/>
      </w:pPr>
      <w:r w:rsidRPr="00335C90">
        <w:t>Объем бюджетных назначений по доходам в целом за 20</w:t>
      </w:r>
      <w:r w:rsidR="00441CB7">
        <w:t>20</w:t>
      </w:r>
      <w:r w:rsidRPr="00335C90">
        <w:t xml:space="preserve"> год увеличен на </w:t>
      </w:r>
      <w:r w:rsidR="0016761D">
        <w:t>281238,03</w:t>
      </w:r>
      <w:r w:rsidRPr="00335C90">
        <w:t xml:space="preserve"> тыс. рублей, в том числе налоговые доходы – </w:t>
      </w:r>
      <w:r w:rsidR="007A0AAE">
        <w:t xml:space="preserve">                                 </w:t>
      </w:r>
      <w:r w:rsidRPr="00335C90">
        <w:t xml:space="preserve">на </w:t>
      </w:r>
      <w:r w:rsidR="0016761D">
        <w:t>13107,58</w:t>
      </w:r>
      <w:r w:rsidRPr="00335C90">
        <w:t xml:space="preserve"> тыс. рублей, безвозмездные поступления – </w:t>
      </w:r>
      <w:r w:rsidR="00A042B0">
        <w:t xml:space="preserve">                                       </w:t>
      </w:r>
      <w:r w:rsidRPr="00335C90">
        <w:t xml:space="preserve">на </w:t>
      </w:r>
      <w:r w:rsidR="000225B9">
        <w:t>272176,50</w:t>
      </w:r>
      <w:r w:rsidRPr="00335C90">
        <w:t xml:space="preserve"> тыс. рублей</w:t>
      </w:r>
      <w:r w:rsidR="001E654D">
        <w:t xml:space="preserve">, с одновременным </w:t>
      </w:r>
      <w:r w:rsidR="00495D9B">
        <w:t>уменьшением</w:t>
      </w:r>
      <w:r w:rsidR="00495D9B" w:rsidRPr="00495D9B">
        <w:t xml:space="preserve"> неналоговы</w:t>
      </w:r>
      <w:r w:rsidR="00495D9B">
        <w:t>х</w:t>
      </w:r>
      <w:r w:rsidR="00495D9B" w:rsidRPr="00495D9B">
        <w:t xml:space="preserve"> доход</w:t>
      </w:r>
      <w:r w:rsidR="00495D9B">
        <w:t>ов</w:t>
      </w:r>
      <w:r w:rsidR="00495D9B" w:rsidRPr="00495D9B">
        <w:t xml:space="preserve"> – на </w:t>
      </w:r>
      <w:r w:rsidR="000225B9">
        <w:t>4046,05</w:t>
      </w:r>
      <w:r w:rsidR="00495D9B" w:rsidRPr="00495D9B">
        <w:t xml:space="preserve"> тыс. рублей</w:t>
      </w:r>
      <w:r w:rsidRPr="00335C90">
        <w:t xml:space="preserve">. </w:t>
      </w:r>
    </w:p>
    <w:p w:rsidR="00475500" w:rsidRDefault="00335C90" w:rsidP="00475500">
      <w:pPr>
        <w:spacing w:line="240" w:lineRule="auto"/>
      </w:pPr>
      <w:proofErr w:type="gramStart"/>
      <w:r w:rsidRPr="00335C90">
        <w:t xml:space="preserve">Доля </w:t>
      </w:r>
      <w:r w:rsidR="00BC6E54" w:rsidRPr="00BC6E54">
        <w:t>утвержденных плановых назначений</w:t>
      </w:r>
      <w:r w:rsidR="00BC6E54">
        <w:t xml:space="preserve"> по </w:t>
      </w:r>
      <w:r w:rsidRPr="00335C90">
        <w:t>налоговы</w:t>
      </w:r>
      <w:r w:rsidR="00BC6E54">
        <w:t>м</w:t>
      </w:r>
      <w:r w:rsidRPr="00335C90">
        <w:t xml:space="preserve"> доход</w:t>
      </w:r>
      <w:r w:rsidR="00BC6E54">
        <w:t>ам</w:t>
      </w:r>
      <w:r w:rsidRPr="00335C90">
        <w:t xml:space="preserve"> в общем объеме доходов по сравнению с первоначально утвержденными показателями </w:t>
      </w:r>
      <w:r w:rsidR="00FF76B3">
        <w:t>снизилась</w:t>
      </w:r>
      <w:r w:rsidRPr="00335C90">
        <w:t xml:space="preserve"> с </w:t>
      </w:r>
      <w:r w:rsidR="00232DA7">
        <w:t>20,2</w:t>
      </w:r>
      <w:r w:rsidR="00FF76B3">
        <w:t xml:space="preserve"> </w:t>
      </w:r>
      <w:r w:rsidRPr="00335C90">
        <w:t xml:space="preserve">% до </w:t>
      </w:r>
      <w:r w:rsidR="00232DA7">
        <w:t>18,0</w:t>
      </w:r>
      <w:r w:rsidR="00FF76B3">
        <w:t xml:space="preserve"> </w:t>
      </w:r>
      <w:r w:rsidRPr="00335C90">
        <w:t>%,</w:t>
      </w:r>
      <w:r w:rsidR="00F85FDE" w:rsidRPr="00F85FDE">
        <w:t xml:space="preserve"> </w:t>
      </w:r>
      <w:r w:rsidR="00FF76B3" w:rsidRPr="00FF76B3">
        <w:t>доля неналоговых доходов с 4,0</w:t>
      </w:r>
      <w:r w:rsidR="00FF76B3">
        <w:t xml:space="preserve"> </w:t>
      </w:r>
      <w:r w:rsidR="00FF76B3" w:rsidRPr="00FF76B3">
        <w:t>% до 3,2</w:t>
      </w:r>
      <w:r w:rsidR="00FF76B3">
        <w:t xml:space="preserve"> </w:t>
      </w:r>
      <w:r w:rsidR="00FF76B3" w:rsidRPr="00FF76B3">
        <w:t>%</w:t>
      </w:r>
      <w:r w:rsidRPr="00335C90">
        <w:t xml:space="preserve">, одновременно </w:t>
      </w:r>
      <w:r w:rsidR="00FF76B3">
        <w:t>увеличилась</w:t>
      </w:r>
      <w:r w:rsidR="00FF76B3" w:rsidRPr="00FF76B3">
        <w:t xml:space="preserve"> доля безвозмездных поступлений с </w:t>
      </w:r>
      <w:r w:rsidR="00FF76B3">
        <w:t xml:space="preserve">75,8 </w:t>
      </w:r>
      <w:r w:rsidR="00FF76B3" w:rsidRPr="00FF76B3">
        <w:t xml:space="preserve">% до </w:t>
      </w:r>
      <w:r w:rsidR="00FF76B3">
        <w:t xml:space="preserve">78,8 </w:t>
      </w:r>
      <w:r w:rsidR="00FF76B3" w:rsidRPr="00FF76B3">
        <w:t>%</w:t>
      </w:r>
      <w:r w:rsidR="00FF76B3">
        <w:t xml:space="preserve"> </w:t>
      </w:r>
      <w:r w:rsidRPr="00335C90">
        <w:t>.</w:t>
      </w:r>
      <w:r w:rsidR="00BC6E54">
        <w:t xml:space="preserve"> </w:t>
      </w:r>
      <w:r w:rsidR="00475500">
        <w:t>На изменение прогнозных показателей повлияло общее увеличение плановых назначений в течение года по всем источникам доходов на</w:t>
      </w:r>
      <w:r w:rsidR="00AE5AE0">
        <w:t xml:space="preserve">  </w:t>
      </w:r>
      <w:r w:rsidR="00475500">
        <w:t xml:space="preserve"> 281238,03 тыс. рублей, в том</w:t>
      </w:r>
      <w:proofErr w:type="gramEnd"/>
      <w:r w:rsidR="00475500">
        <w:t xml:space="preserve"> </w:t>
      </w:r>
      <w:proofErr w:type="gramStart"/>
      <w:r w:rsidR="00475500">
        <w:t>числе</w:t>
      </w:r>
      <w:proofErr w:type="gramEnd"/>
      <w:r w:rsidR="00475500">
        <w:t>:</w:t>
      </w:r>
    </w:p>
    <w:p w:rsidR="00EA2654" w:rsidRDefault="00EA2654" w:rsidP="00475500">
      <w:pPr>
        <w:spacing w:line="240" w:lineRule="auto"/>
      </w:pPr>
      <w:r>
        <w:t xml:space="preserve">- налоговые и неналоговые доходы на 9061,53 тыс. рублей </w:t>
      </w:r>
      <w:r w:rsidR="00A042B0">
        <w:t xml:space="preserve">                        </w:t>
      </w:r>
      <w:r>
        <w:t>(с 402092,00 тыс. рублей до 411153,53 тыс. рублей)</w:t>
      </w:r>
      <w:r w:rsidR="001C6375">
        <w:t>, в том числе:</w:t>
      </w:r>
    </w:p>
    <w:p w:rsidR="00475500" w:rsidRDefault="00475500" w:rsidP="00475500">
      <w:pPr>
        <w:spacing w:line="240" w:lineRule="auto"/>
      </w:pPr>
      <w:r>
        <w:t xml:space="preserve">налоговые доходы </w:t>
      </w:r>
      <w:r w:rsidR="001C6375" w:rsidRPr="001C6375">
        <w:t xml:space="preserve">увеличены </w:t>
      </w:r>
      <w:r>
        <w:t xml:space="preserve">на </w:t>
      </w:r>
      <w:r w:rsidR="004003D4">
        <w:t xml:space="preserve">13107,58 </w:t>
      </w:r>
      <w:r>
        <w:t xml:space="preserve"> тыс. рублей</w:t>
      </w:r>
      <w:r w:rsidR="00A042B0">
        <w:t xml:space="preserve">                              </w:t>
      </w:r>
      <w:r>
        <w:t xml:space="preserve"> (с </w:t>
      </w:r>
      <w:r w:rsidR="004003D4">
        <w:t>335766,25</w:t>
      </w:r>
      <w:r>
        <w:t xml:space="preserve"> тыс. рублей до </w:t>
      </w:r>
      <w:r w:rsidR="004003D4">
        <w:t>348873,83</w:t>
      </w:r>
      <w:r>
        <w:t xml:space="preserve"> тыс. рублей);</w:t>
      </w:r>
    </w:p>
    <w:p w:rsidR="00475500" w:rsidRDefault="00475500" w:rsidP="00475500">
      <w:pPr>
        <w:spacing w:line="240" w:lineRule="auto"/>
      </w:pPr>
      <w:r w:rsidRPr="001C6375">
        <w:t xml:space="preserve"> неналоговые доходы </w:t>
      </w:r>
      <w:r w:rsidR="001C6375" w:rsidRPr="001C6375">
        <w:t xml:space="preserve">снижены </w:t>
      </w:r>
      <w:r w:rsidRPr="001C6375">
        <w:t xml:space="preserve">на </w:t>
      </w:r>
      <w:r w:rsidR="001C6375" w:rsidRPr="001C6375">
        <w:t xml:space="preserve">4046,05 </w:t>
      </w:r>
      <w:r w:rsidRPr="001C6375">
        <w:t xml:space="preserve">тыс. рублей </w:t>
      </w:r>
      <w:r w:rsidR="00A042B0">
        <w:t xml:space="preserve">                               </w:t>
      </w:r>
      <w:r w:rsidRPr="001C6375">
        <w:t xml:space="preserve">(с </w:t>
      </w:r>
      <w:r w:rsidR="004003D4" w:rsidRPr="001C6375">
        <w:t xml:space="preserve">66325,75 </w:t>
      </w:r>
      <w:r w:rsidRPr="001C6375">
        <w:t xml:space="preserve">тыс. рублей до </w:t>
      </w:r>
      <w:r w:rsidR="001C6375" w:rsidRPr="001C6375">
        <w:t>62279,70</w:t>
      </w:r>
      <w:r w:rsidRPr="001C6375">
        <w:t xml:space="preserve"> тыс. рублей);</w:t>
      </w:r>
    </w:p>
    <w:p w:rsidR="00475500" w:rsidRDefault="00475500" w:rsidP="00475500">
      <w:pPr>
        <w:spacing w:line="240" w:lineRule="auto"/>
      </w:pPr>
      <w:r>
        <w:lastRenderedPageBreak/>
        <w:t xml:space="preserve">- безвозмездные поступления на </w:t>
      </w:r>
      <w:r w:rsidR="00390A36">
        <w:t>272176,50</w:t>
      </w:r>
      <w:r>
        <w:t xml:space="preserve"> тыс. рублей</w:t>
      </w:r>
      <w:r w:rsidR="00A042B0">
        <w:t xml:space="preserve">                             </w:t>
      </w:r>
      <w:r>
        <w:t xml:space="preserve"> (с </w:t>
      </w:r>
      <w:r w:rsidR="00390A36">
        <w:t>1257182,11</w:t>
      </w:r>
      <w:r>
        <w:t xml:space="preserve"> тыс. рублей до </w:t>
      </w:r>
      <w:r w:rsidR="00390A36">
        <w:t>1529358,61</w:t>
      </w:r>
      <w:r>
        <w:t xml:space="preserve"> тыс. рублей), в том числе:</w:t>
      </w:r>
    </w:p>
    <w:p w:rsidR="00475500" w:rsidRDefault="00475500" w:rsidP="00475500">
      <w:pPr>
        <w:spacing w:line="240" w:lineRule="auto"/>
      </w:pPr>
      <w:r>
        <w:t xml:space="preserve">дотации </w:t>
      </w:r>
      <w:r w:rsidR="00EB7AC9" w:rsidRPr="00EB7AC9">
        <w:t>увеличены</w:t>
      </w:r>
      <w:r>
        <w:t xml:space="preserve"> на </w:t>
      </w:r>
      <w:r w:rsidR="00EB7AC9">
        <w:t>8219,00</w:t>
      </w:r>
      <w:r>
        <w:t xml:space="preserve"> тыс. рублей (с </w:t>
      </w:r>
      <w:r w:rsidR="00EB7AC9">
        <w:t>436695,00</w:t>
      </w:r>
      <w:r>
        <w:t xml:space="preserve"> тыс. рублей до </w:t>
      </w:r>
      <w:r w:rsidR="00EB7AC9">
        <w:t>444914,00</w:t>
      </w:r>
      <w:r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субсидии </w:t>
      </w:r>
      <w:r w:rsidR="00EB7AC9" w:rsidRPr="00EB7AC9">
        <w:t>увеличены</w:t>
      </w:r>
      <w:r>
        <w:t xml:space="preserve"> на </w:t>
      </w:r>
      <w:r w:rsidR="00EB7AC9">
        <w:t>136553,03</w:t>
      </w:r>
      <w:r>
        <w:t xml:space="preserve"> тыс. рублей (с </w:t>
      </w:r>
      <w:r w:rsidR="002649AE">
        <w:t>85228,37</w:t>
      </w:r>
      <w:r>
        <w:t xml:space="preserve"> тыс. рублей до </w:t>
      </w:r>
      <w:r w:rsidR="002649AE">
        <w:t>221781,40</w:t>
      </w:r>
      <w:r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субвенции увеличены на </w:t>
      </w:r>
      <w:r w:rsidR="002649AE">
        <w:t>138136,38</w:t>
      </w:r>
      <w:r>
        <w:t xml:space="preserve"> тыс. рублей (с </w:t>
      </w:r>
      <w:r w:rsidR="002649AE">
        <w:t>720537,39</w:t>
      </w:r>
      <w:r>
        <w:t xml:space="preserve"> тыс. рублей до </w:t>
      </w:r>
      <w:r w:rsidR="002649AE">
        <w:t>858673,77</w:t>
      </w:r>
      <w:r>
        <w:t xml:space="preserve"> тыс. рублей);</w:t>
      </w:r>
    </w:p>
    <w:p w:rsidR="00475500" w:rsidRDefault="00475500" w:rsidP="00475500">
      <w:pPr>
        <w:spacing w:line="240" w:lineRule="auto"/>
      </w:pPr>
      <w:r>
        <w:t xml:space="preserve">иные межбюджетные трансферты увеличены на </w:t>
      </w:r>
      <w:r w:rsidR="00C43EE0">
        <w:t>10393,81</w:t>
      </w:r>
      <w:r>
        <w:t xml:space="preserve"> тыс. рублей (с </w:t>
      </w:r>
      <w:r w:rsidR="00C43EE0">
        <w:t>1225,91</w:t>
      </w:r>
      <w:r>
        <w:t xml:space="preserve"> тыс. рублей до </w:t>
      </w:r>
      <w:r w:rsidR="00C43EE0">
        <w:t>11619,72</w:t>
      </w:r>
      <w:r>
        <w:t xml:space="preserve"> тыс. рублей);</w:t>
      </w:r>
    </w:p>
    <w:p w:rsidR="004C733B" w:rsidRDefault="00475500" w:rsidP="00475500">
      <w:pPr>
        <w:spacing w:line="240" w:lineRule="auto"/>
      </w:pPr>
      <w:r>
        <w:t xml:space="preserve">прочие безвозмездные поступления </w:t>
      </w:r>
      <w:r w:rsidR="00C43EE0">
        <w:t>снижены</w:t>
      </w:r>
      <w:r>
        <w:t xml:space="preserve"> на </w:t>
      </w:r>
      <w:r w:rsidR="00C43EE0">
        <w:t>367,09</w:t>
      </w:r>
      <w:r>
        <w:t xml:space="preserve"> тыс. рублей (с </w:t>
      </w:r>
      <w:r w:rsidR="00C43EE0">
        <w:t>13495,44</w:t>
      </w:r>
      <w:r>
        <w:t xml:space="preserve"> тыс. рублей до </w:t>
      </w:r>
      <w:r w:rsidR="00C43EE0">
        <w:t>13128,35</w:t>
      </w:r>
      <w:r>
        <w:t xml:space="preserve"> тыс. рублей).</w:t>
      </w:r>
    </w:p>
    <w:p w:rsidR="00335C90" w:rsidRPr="00335C90" w:rsidRDefault="00335C90" w:rsidP="00475500">
      <w:pPr>
        <w:spacing w:line="240" w:lineRule="auto"/>
      </w:pPr>
      <w:r w:rsidRPr="00335C90">
        <w:t xml:space="preserve">С учетом внесенных изменений </w:t>
      </w:r>
      <w:r w:rsidR="00851F4F">
        <w:t>решением</w:t>
      </w:r>
      <w:r w:rsidRPr="00335C90">
        <w:t xml:space="preserve"> о </w:t>
      </w:r>
      <w:r w:rsidR="00851F4F">
        <w:t>местном</w:t>
      </w:r>
      <w:r w:rsidRPr="00335C90">
        <w:t xml:space="preserve"> бюджете (ред. от</w:t>
      </w:r>
      <w:r w:rsidR="00D33521">
        <w:t xml:space="preserve"> </w:t>
      </w:r>
      <w:r w:rsidR="00A15494">
        <w:t>15</w:t>
      </w:r>
      <w:r w:rsidRPr="00335C90">
        <w:t>.12.20</w:t>
      </w:r>
      <w:r w:rsidR="00A15494">
        <w:t>20</w:t>
      </w:r>
      <w:r w:rsidR="003C42F3">
        <w:t xml:space="preserve"> </w:t>
      </w:r>
      <w:r w:rsidR="003C42F3" w:rsidRPr="00650A5E">
        <w:t>г.</w:t>
      </w:r>
      <w:r w:rsidRPr="00650A5E">
        <w:t>)</w:t>
      </w:r>
      <w:r w:rsidRPr="00335C90">
        <w:t xml:space="preserve"> утвержден общий объем доходов в сумме </w:t>
      </w:r>
      <w:r w:rsidR="00A15494">
        <w:t>1940512,14</w:t>
      </w:r>
      <w:r w:rsidRPr="00335C90">
        <w:t xml:space="preserve"> тыс. рублей. Фактически в 20</w:t>
      </w:r>
      <w:r w:rsidR="00A15494">
        <w:t>20</w:t>
      </w:r>
      <w:r w:rsidRPr="00335C90">
        <w:t xml:space="preserve"> году поступило доходов в сумме </w:t>
      </w:r>
      <w:r w:rsidR="00A15494">
        <w:t>1915415,37</w:t>
      </w:r>
      <w:r w:rsidR="000A0AA4">
        <w:t xml:space="preserve"> </w:t>
      </w:r>
      <w:r w:rsidRPr="00335C90">
        <w:t xml:space="preserve"> тыс. рублей, что </w:t>
      </w:r>
      <w:r w:rsidR="004E7A45">
        <w:t>ниже</w:t>
      </w:r>
      <w:r w:rsidRPr="00335C90">
        <w:t xml:space="preserve"> на </w:t>
      </w:r>
      <w:r w:rsidR="004E7A45">
        <w:t>1,3</w:t>
      </w:r>
      <w:r w:rsidRPr="00335C90">
        <w:t xml:space="preserve">% уточненных годовых назначений и </w:t>
      </w:r>
      <w:r w:rsidR="005D2BBC">
        <w:t xml:space="preserve">выше </w:t>
      </w:r>
      <w:r w:rsidRPr="00335C90">
        <w:t xml:space="preserve">на </w:t>
      </w:r>
      <w:r w:rsidR="004E7A45">
        <w:t>15,4</w:t>
      </w:r>
      <w:r w:rsidR="00A324AF">
        <w:t>%</w:t>
      </w:r>
      <w:r w:rsidRPr="00335C90">
        <w:t xml:space="preserve"> первоначального плана.</w:t>
      </w:r>
      <w:r w:rsidR="00DC00D0">
        <w:t xml:space="preserve"> </w:t>
      </w:r>
      <w:r w:rsidR="00AD7D72">
        <w:t>З</w:t>
      </w:r>
      <w:r w:rsidRPr="00335C90">
        <w:t xml:space="preserve">апланированные бюджетные назначения </w:t>
      </w:r>
      <w:r w:rsidR="00AD7D72" w:rsidRPr="00AD7D72">
        <w:t xml:space="preserve">не выполнены </w:t>
      </w:r>
      <w:r w:rsidRPr="00335C90">
        <w:t xml:space="preserve">по </w:t>
      </w:r>
      <w:r w:rsidR="00DE6E5F" w:rsidRPr="00DE6E5F">
        <w:t>налоговы</w:t>
      </w:r>
      <w:r w:rsidR="00DE6E5F">
        <w:t>м</w:t>
      </w:r>
      <w:r w:rsidR="00DE6E5F" w:rsidRPr="00DE6E5F">
        <w:t xml:space="preserve"> доход</w:t>
      </w:r>
      <w:r w:rsidR="00DE6E5F">
        <w:t>ам</w:t>
      </w:r>
      <w:r w:rsidR="00DE6E5F" w:rsidRPr="00DE6E5F">
        <w:t xml:space="preserve"> </w:t>
      </w:r>
      <w:r w:rsidR="00636062">
        <w:t xml:space="preserve">в сумме </w:t>
      </w:r>
      <w:r w:rsidR="00FA1471">
        <w:t>4927,79</w:t>
      </w:r>
      <w:r w:rsidRPr="00335C90">
        <w:t xml:space="preserve"> тыс. рублей</w:t>
      </w:r>
      <w:r w:rsidR="00FA1471">
        <w:t>, по неналоговым доходам в сумме 601,52 тыс. рублей</w:t>
      </w:r>
      <w:r w:rsidR="008E135A">
        <w:t xml:space="preserve"> </w:t>
      </w:r>
      <w:r w:rsidR="008E135A" w:rsidRPr="008E135A">
        <w:t xml:space="preserve">и </w:t>
      </w:r>
      <w:r w:rsidR="00636062">
        <w:t xml:space="preserve">по </w:t>
      </w:r>
      <w:r w:rsidR="008E135A" w:rsidRPr="008E135A">
        <w:t>безвозмездны</w:t>
      </w:r>
      <w:r w:rsidR="00636062">
        <w:t>м</w:t>
      </w:r>
      <w:r w:rsidR="008E135A" w:rsidRPr="008E135A">
        <w:t xml:space="preserve"> поступлени</w:t>
      </w:r>
      <w:r w:rsidR="00636062">
        <w:t>ям</w:t>
      </w:r>
      <w:r w:rsidR="008E135A" w:rsidRPr="008E135A">
        <w:t xml:space="preserve"> в сумме </w:t>
      </w:r>
      <w:r w:rsidR="00564DAF">
        <w:t xml:space="preserve"> </w:t>
      </w:r>
      <w:r w:rsidR="00D46249">
        <w:t>19567,45</w:t>
      </w:r>
      <w:r w:rsidR="008E135A" w:rsidRPr="008E135A">
        <w:t xml:space="preserve"> тыс. рублей</w:t>
      </w:r>
      <w:r w:rsidRPr="00335C90">
        <w:t>.</w:t>
      </w:r>
    </w:p>
    <w:p w:rsidR="00335C90" w:rsidRPr="00335C90" w:rsidRDefault="00335C90" w:rsidP="006735B5">
      <w:pPr>
        <w:spacing w:line="240" w:lineRule="auto"/>
      </w:pPr>
      <w:r w:rsidRPr="00335C90">
        <w:t>По сравнению с 20</w:t>
      </w:r>
      <w:r w:rsidR="00DC00D0">
        <w:t>19</w:t>
      </w:r>
      <w:r w:rsidRPr="00335C90">
        <w:t xml:space="preserve"> годом объем поступивших доходов </w:t>
      </w:r>
      <w:r w:rsidR="00D321E3" w:rsidRPr="00AE51DA">
        <w:t xml:space="preserve">в сопоставимом виде </w:t>
      </w:r>
      <w:r w:rsidRPr="00AE51DA">
        <w:t xml:space="preserve">увеличился на </w:t>
      </w:r>
      <w:r w:rsidR="004F7A8E">
        <w:t>289952,23</w:t>
      </w:r>
      <w:r w:rsidRPr="00AE51DA">
        <w:t xml:space="preserve"> тыс. рублей или на </w:t>
      </w:r>
      <w:r w:rsidR="00DC00D0">
        <w:t>17,</w:t>
      </w:r>
      <w:r w:rsidR="004F7A8E">
        <w:t>8</w:t>
      </w:r>
      <w:r w:rsidRPr="00AE51DA">
        <w:t>% (201</w:t>
      </w:r>
      <w:r w:rsidR="00DC00D0">
        <w:t>9</w:t>
      </w:r>
      <w:r w:rsidRPr="00AE51DA">
        <w:t xml:space="preserve"> год – </w:t>
      </w:r>
      <w:r w:rsidR="00D33521">
        <w:t xml:space="preserve">     </w:t>
      </w:r>
      <w:r w:rsidR="004F7A8E">
        <w:t>1625463,15</w:t>
      </w:r>
      <w:r w:rsidR="00E231C7" w:rsidRPr="00AE51DA">
        <w:t xml:space="preserve"> тыс. рублей, 20</w:t>
      </w:r>
      <w:r w:rsidR="00587943">
        <w:t>20</w:t>
      </w:r>
      <w:r w:rsidRPr="00AE51DA">
        <w:t xml:space="preserve"> год – </w:t>
      </w:r>
      <w:r w:rsidR="00587943">
        <w:t>1915415,38</w:t>
      </w:r>
      <w:r w:rsidRPr="00AE51DA">
        <w:t xml:space="preserve"> тыс. рублей). Положительная динамика обусловлена увеличением безвозмездных поступлений на </w:t>
      </w:r>
      <w:r w:rsidR="00D33521">
        <w:t xml:space="preserve">   </w:t>
      </w:r>
      <w:r w:rsidR="00FB0E1F" w:rsidRPr="00AE51DA">
        <w:t xml:space="preserve"> </w:t>
      </w:r>
      <w:r w:rsidR="00587943">
        <w:t>288668,03</w:t>
      </w:r>
      <w:r w:rsidRPr="00AE51DA">
        <w:t xml:space="preserve"> тыс. рублей или </w:t>
      </w:r>
      <w:r w:rsidR="00587943">
        <w:t>23,6</w:t>
      </w:r>
      <w:r w:rsidR="00F1258F" w:rsidRPr="00AE51DA">
        <w:t xml:space="preserve"> </w:t>
      </w:r>
      <w:r w:rsidRPr="00AE51DA">
        <w:t>%.</w:t>
      </w:r>
    </w:p>
    <w:p w:rsidR="00335C90" w:rsidRPr="00335C90" w:rsidRDefault="00335C90" w:rsidP="006735B5">
      <w:pPr>
        <w:spacing w:line="240" w:lineRule="auto"/>
      </w:pPr>
      <w:r w:rsidRPr="00335C90">
        <w:t xml:space="preserve">Налоговые доходы исполнены на </w:t>
      </w:r>
      <w:r w:rsidR="00656DA6">
        <w:t>98,6</w:t>
      </w:r>
      <w:r w:rsidRPr="00335C90">
        <w:t xml:space="preserve">% относительно показателей уточненных назначений (при плане </w:t>
      </w:r>
      <w:r w:rsidR="00656DA6">
        <w:t>348873,83</w:t>
      </w:r>
      <w:r w:rsidRPr="00335C90">
        <w:t xml:space="preserve"> тыс. рублей поступило </w:t>
      </w:r>
      <w:r w:rsidR="00564DAF">
        <w:t xml:space="preserve">          </w:t>
      </w:r>
      <w:r w:rsidR="00656DA6">
        <w:t>343946,04</w:t>
      </w:r>
      <w:r w:rsidR="00A245E3">
        <w:t xml:space="preserve"> </w:t>
      </w:r>
      <w:r w:rsidRPr="00335C90">
        <w:t xml:space="preserve"> тыс. рублей), к первоначальным назначениям исполнение сложилось на уровне </w:t>
      </w:r>
      <w:r w:rsidR="00656DA6">
        <w:t>102,4</w:t>
      </w:r>
      <w:r w:rsidRPr="00335C90">
        <w:t xml:space="preserve">%. Доля налоговых доходов составила </w:t>
      </w:r>
      <w:r w:rsidR="00445E6F">
        <w:t>18,0</w:t>
      </w:r>
      <w:r w:rsidR="00F2343F">
        <w:t xml:space="preserve"> </w:t>
      </w:r>
      <w:r w:rsidRPr="00335C90">
        <w:t>% в общем объеме поступивших доходов за 20</w:t>
      </w:r>
      <w:r w:rsidR="00445E6F">
        <w:t>20</w:t>
      </w:r>
      <w:r w:rsidRPr="00335C90">
        <w:t xml:space="preserve"> год.</w:t>
      </w:r>
    </w:p>
    <w:p w:rsidR="00335C90" w:rsidRPr="00335C90" w:rsidRDefault="00335C90" w:rsidP="006735B5">
      <w:pPr>
        <w:spacing w:line="240" w:lineRule="auto"/>
      </w:pPr>
      <w:r w:rsidRPr="00335C90">
        <w:t xml:space="preserve">Наибольший объем в структуре налоговых доходов занимают </w:t>
      </w:r>
      <w:r w:rsidR="00001007">
        <w:t>три</w:t>
      </w:r>
      <w:r w:rsidRPr="00335C90">
        <w:t xml:space="preserve"> вида налогов: налог на доходы физических лиц, </w:t>
      </w:r>
      <w:r w:rsidR="00FA4FC9">
        <w:t>налоги на совокупный доход</w:t>
      </w:r>
      <w:r w:rsidRPr="00335C90">
        <w:t xml:space="preserve"> и налог</w:t>
      </w:r>
      <w:r w:rsidR="00FA4FC9">
        <w:t>и</w:t>
      </w:r>
      <w:r w:rsidRPr="00335C90">
        <w:t xml:space="preserve"> на имущество. В сравнении с 201</w:t>
      </w:r>
      <w:r w:rsidR="00445E6F">
        <w:t>9</w:t>
      </w:r>
      <w:r w:rsidRPr="00335C90">
        <w:t xml:space="preserve"> годом доля указанных налогов в общем объеме поступивших налоговых доходов </w:t>
      </w:r>
      <w:r w:rsidR="00992793">
        <w:t>увеличилась</w:t>
      </w:r>
      <w:r w:rsidRPr="00335C90">
        <w:t xml:space="preserve"> на </w:t>
      </w:r>
      <w:r w:rsidR="00C82855">
        <w:t>0,</w:t>
      </w:r>
      <w:r w:rsidR="00992793">
        <w:t>6</w:t>
      </w:r>
      <w:r w:rsidRPr="00335C90">
        <w:t>% (201</w:t>
      </w:r>
      <w:r w:rsidR="00445E6F">
        <w:t>9</w:t>
      </w:r>
      <w:r w:rsidRPr="00335C90">
        <w:t xml:space="preserve"> год </w:t>
      </w:r>
      <w:r w:rsidR="00001007">
        <w:t>–</w:t>
      </w:r>
      <w:r w:rsidRPr="00335C90">
        <w:t xml:space="preserve"> </w:t>
      </w:r>
      <w:r w:rsidR="00CF30B2">
        <w:t>87,</w:t>
      </w:r>
      <w:r w:rsidR="00911EE1">
        <w:t xml:space="preserve">7 </w:t>
      </w:r>
      <w:r w:rsidRPr="00335C90">
        <w:t>%, 20</w:t>
      </w:r>
      <w:r w:rsidR="00911EE1">
        <w:t>20</w:t>
      </w:r>
      <w:r w:rsidRPr="00335C90">
        <w:t xml:space="preserve"> год – </w:t>
      </w:r>
      <w:r w:rsidR="00CF30B2" w:rsidRPr="00CF30B2">
        <w:t>88,</w:t>
      </w:r>
      <w:r w:rsidR="00911EE1">
        <w:t>3</w:t>
      </w:r>
      <w:r w:rsidRPr="00335C90">
        <w:t>%).</w:t>
      </w:r>
    </w:p>
    <w:p w:rsidR="00A17BAC" w:rsidRDefault="00335C90" w:rsidP="006735B5">
      <w:pPr>
        <w:spacing w:line="240" w:lineRule="auto"/>
      </w:pPr>
      <w:r w:rsidRPr="00335C90">
        <w:t xml:space="preserve">Поступления налога на доходы физических лиц составили </w:t>
      </w:r>
      <w:r w:rsidR="00564DAF">
        <w:t xml:space="preserve">          </w:t>
      </w:r>
      <w:r w:rsidR="00992793">
        <w:t>191999,39</w:t>
      </w:r>
      <w:r w:rsidRPr="00335C90">
        <w:t xml:space="preserve"> тыс. рублей, что </w:t>
      </w:r>
      <w:r w:rsidR="00225CC3">
        <w:t>выше</w:t>
      </w:r>
      <w:r w:rsidRPr="00335C90">
        <w:t xml:space="preserve"> на </w:t>
      </w:r>
      <w:r w:rsidR="00992793">
        <w:t>420,27</w:t>
      </w:r>
      <w:r w:rsidRPr="00335C90">
        <w:t xml:space="preserve"> тыс. рублей или </w:t>
      </w:r>
      <w:r w:rsidR="00EA7636">
        <w:t>10</w:t>
      </w:r>
      <w:r w:rsidR="00992793">
        <w:t>0</w:t>
      </w:r>
      <w:r w:rsidR="00EA7636">
        <w:t>,</w:t>
      </w:r>
      <w:r w:rsidR="00992793">
        <w:t>2</w:t>
      </w:r>
      <w:r w:rsidRPr="00335C90">
        <w:t xml:space="preserve">% уточненных плановых назначений. </w:t>
      </w:r>
      <w:proofErr w:type="gramStart"/>
      <w:r w:rsidRPr="00335C90">
        <w:t>К уровню 201</w:t>
      </w:r>
      <w:r w:rsidR="00992793">
        <w:t>9</w:t>
      </w:r>
      <w:r w:rsidRPr="00335C90">
        <w:t> года</w:t>
      </w:r>
      <w:r w:rsidR="00EA7636">
        <w:t xml:space="preserve"> </w:t>
      </w:r>
      <w:r w:rsidRPr="00335C90">
        <w:t xml:space="preserve">прирост поступлений </w:t>
      </w:r>
      <w:r w:rsidR="00922A0E">
        <w:t xml:space="preserve">в сопоставимом виде </w:t>
      </w:r>
      <w:r w:rsidRPr="00335C90">
        <w:t xml:space="preserve">составил </w:t>
      </w:r>
      <w:r w:rsidR="00FB0E1F">
        <w:t xml:space="preserve"> </w:t>
      </w:r>
      <w:r w:rsidR="00335F3B">
        <w:t>21018,80</w:t>
      </w:r>
      <w:r w:rsidRPr="00335C90">
        <w:t xml:space="preserve"> тыс. рублей или </w:t>
      </w:r>
      <w:r w:rsidR="00335F3B">
        <w:t>12,3</w:t>
      </w:r>
      <w:r w:rsidR="00EA7636">
        <w:t xml:space="preserve"> </w:t>
      </w:r>
      <w:r w:rsidRPr="00335C90">
        <w:t>%.</w:t>
      </w:r>
      <w:r w:rsidR="00EA7636">
        <w:t xml:space="preserve"> </w:t>
      </w:r>
      <w:r w:rsidRPr="00335C90">
        <w:t xml:space="preserve"> Данное увеличение </w:t>
      </w:r>
      <w:r w:rsidR="00690171">
        <w:t xml:space="preserve">обусловлено </w:t>
      </w:r>
      <w:r w:rsidR="00690171" w:rsidRPr="00690171">
        <w:t xml:space="preserve">тем, что </w:t>
      </w:r>
      <w:r w:rsidR="00A17BAC">
        <w:t xml:space="preserve">произошло </w:t>
      </w:r>
      <w:r w:rsidR="00071F89">
        <w:t>повышени</w:t>
      </w:r>
      <w:r w:rsidR="00A17BAC">
        <w:t>е</w:t>
      </w:r>
      <w:r w:rsidR="00071F89">
        <w:t xml:space="preserve">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</w:t>
      </w:r>
      <w:r w:rsidR="00BA2C1E">
        <w:t xml:space="preserve"> учреждений с 01.10.</w:t>
      </w:r>
      <w:r w:rsidR="00A17BAC">
        <w:t>2019 г., а также</w:t>
      </w:r>
      <w:r w:rsidR="00071F89">
        <w:t xml:space="preserve"> рост</w:t>
      </w:r>
      <w:r w:rsidR="00A17BAC">
        <w:t>ом</w:t>
      </w:r>
      <w:r w:rsidR="00071F89">
        <w:t xml:space="preserve"> налога</w:t>
      </w:r>
      <w:r w:rsidR="00A17BAC">
        <w:t>,</w:t>
      </w:r>
      <w:r w:rsidR="00071F89">
        <w:t xml:space="preserve"> перечисленного</w:t>
      </w:r>
      <w:proofErr w:type="gramEnd"/>
      <w:r w:rsidR="00071F89">
        <w:t xml:space="preserve"> в бюджет социально-</w:t>
      </w:r>
      <w:r w:rsidR="00071F89">
        <w:lastRenderedPageBreak/>
        <w:t>значимыми предприятиями</w:t>
      </w:r>
      <w:r w:rsidR="00A17BAC">
        <w:t>,</w:t>
      </w:r>
      <w:r w:rsidR="00071F89">
        <w:t xml:space="preserve"> в целом за 20</w:t>
      </w:r>
      <w:r w:rsidR="00770C7C">
        <w:t>20</w:t>
      </w:r>
      <w:r w:rsidR="00071F89">
        <w:t xml:space="preserve"> год по отношению к </w:t>
      </w:r>
      <w:r w:rsidR="00BC4EBB">
        <w:t xml:space="preserve"> </w:t>
      </w:r>
      <w:r w:rsidR="00071F89">
        <w:t>201</w:t>
      </w:r>
      <w:r w:rsidR="00770C7C">
        <w:t>9</w:t>
      </w:r>
      <w:r w:rsidR="00071F89">
        <w:t xml:space="preserve"> году на </w:t>
      </w:r>
      <w:r w:rsidR="00770C7C">
        <w:t>4,2</w:t>
      </w:r>
      <w:r w:rsidR="00071F89">
        <w:t xml:space="preserve"> </w:t>
      </w:r>
      <w:r w:rsidR="00BA2C1E">
        <w:t>%</w:t>
      </w:r>
      <w:r w:rsidR="00071F89">
        <w:t xml:space="preserve"> или на </w:t>
      </w:r>
      <w:r w:rsidR="00770C7C">
        <w:t>4449,24</w:t>
      </w:r>
      <w:r w:rsidR="00071F89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>Доходы от уплаты акцизов на нефтепродукты за 20</w:t>
      </w:r>
      <w:r w:rsidR="00770C7C">
        <w:t>20</w:t>
      </w:r>
      <w:r w:rsidRPr="00335C90">
        <w:t xml:space="preserve"> год составили </w:t>
      </w:r>
      <w:r w:rsidR="00FB0E1F">
        <w:t xml:space="preserve">   </w:t>
      </w:r>
      <w:r w:rsidR="00770C7C">
        <w:t>34452,34</w:t>
      </w:r>
      <w:r w:rsidRPr="00335C90">
        <w:t xml:space="preserve"> тыс. рублей или </w:t>
      </w:r>
      <w:r w:rsidR="00207C80">
        <w:t>85,6</w:t>
      </w:r>
      <w:r w:rsidR="00534826">
        <w:t xml:space="preserve"> </w:t>
      </w:r>
      <w:r w:rsidRPr="00335C90">
        <w:t xml:space="preserve">% к годовым плановым назначениям. </w:t>
      </w:r>
      <w:r w:rsidR="00B92DE8">
        <w:t>Не</w:t>
      </w:r>
      <w:r w:rsidRPr="00335C90">
        <w:t xml:space="preserve">выполнение плановых годовых назначений сложилось в сумме </w:t>
      </w:r>
      <w:r w:rsidR="0071425A">
        <w:t xml:space="preserve">            </w:t>
      </w:r>
      <w:r w:rsidR="00207C80">
        <w:t>5793,16</w:t>
      </w:r>
      <w:r w:rsidRPr="00335C90">
        <w:t xml:space="preserve"> тыс. рублей.</w:t>
      </w:r>
    </w:p>
    <w:p w:rsidR="00D7550F" w:rsidRDefault="00335C90" w:rsidP="006735B5">
      <w:pPr>
        <w:spacing w:line="240" w:lineRule="auto"/>
      </w:pPr>
      <w:r w:rsidRPr="00335C90">
        <w:t>По сравнению с 201</w:t>
      </w:r>
      <w:r w:rsidR="00207C80">
        <w:t>9</w:t>
      </w:r>
      <w:r w:rsidRPr="00335C90">
        <w:t xml:space="preserve"> годом объем поступлений доходов от уплаты акцизов на нефтепродукты</w:t>
      </w:r>
      <w:r w:rsidR="00C6420A">
        <w:t xml:space="preserve"> в сопоставимом виде</w:t>
      </w:r>
      <w:r w:rsidRPr="00335C90">
        <w:t xml:space="preserve"> </w:t>
      </w:r>
      <w:r w:rsidR="00207C80">
        <w:t>снизился</w:t>
      </w:r>
      <w:r w:rsidRPr="00335C90">
        <w:t xml:space="preserve"> на</w:t>
      </w:r>
      <w:r w:rsidR="0071425A">
        <w:t xml:space="preserve">                    </w:t>
      </w:r>
      <w:r w:rsidRPr="00335C90">
        <w:t xml:space="preserve"> </w:t>
      </w:r>
      <w:r w:rsidR="00207C80">
        <w:t>2740,94</w:t>
      </w:r>
      <w:r w:rsidR="006D058A">
        <w:t xml:space="preserve"> </w:t>
      </w:r>
      <w:r w:rsidRPr="00335C90">
        <w:t xml:space="preserve"> тыс. рублей или на </w:t>
      </w:r>
      <w:r w:rsidR="00207C80">
        <w:t>7,4</w:t>
      </w:r>
      <w:r w:rsidR="006D058A">
        <w:t xml:space="preserve"> </w:t>
      </w:r>
      <w:r w:rsidRPr="00335C90">
        <w:t xml:space="preserve">%. </w:t>
      </w:r>
    </w:p>
    <w:p w:rsidR="005E0A3C" w:rsidRDefault="003C6E99" w:rsidP="005E0A3C">
      <w:pPr>
        <w:spacing w:line="240" w:lineRule="auto"/>
      </w:pPr>
      <w:r w:rsidRPr="003C6E99">
        <w:t>Поступлени</w:t>
      </w:r>
      <w:r w:rsidR="00562CDF">
        <w:t>я</w:t>
      </w:r>
      <w:r w:rsidRPr="003C6E99">
        <w:t xml:space="preserve"> налогов на совокупный доход составил</w:t>
      </w:r>
      <w:r w:rsidR="00562CDF">
        <w:t>и</w:t>
      </w:r>
      <w:r w:rsidRPr="003C6E99">
        <w:t xml:space="preserve"> </w:t>
      </w:r>
      <w:r w:rsidR="0071425A">
        <w:t xml:space="preserve">                   </w:t>
      </w:r>
      <w:r w:rsidR="0057058A">
        <w:t>41011,23</w:t>
      </w:r>
      <w:r w:rsidRPr="003C6E99">
        <w:t xml:space="preserve"> тыс. рублей или </w:t>
      </w:r>
      <w:r w:rsidR="0057058A">
        <w:t>100,0</w:t>
      </w:r>
      <w:r w:rsidRPr="003C6E99">
        <w:t>% к уточненным бюджетным назначениям на 20</w:t>
      </w:r>
      <w:r w:rsidR="0057058A">
        <w:t>20</w:t>
      </w:r>
      <w:r w:rsidRPr="003C6E99">
        <w:t xml:space="preserve"> год (</w:t>
      </w:r>
      <w:r w:rsidR="0057058A">
        <w:t>41002,83</w:t>
      </w:r>
      <w:r w:rsidRPr="003C6E99">
        <w:t xml:space="preserve"> тыс. рублей), из них исполнено: </w:t>
      </w:r>
      <w:r w:rsidR="0057058A">
        <w:t>е</w:t>
      </w:r>
      <w:r w:rsidR="0057058A" w:rsidRPr="0057058A">
        <w:t xml:space="preserve">диного налога на вмененный доход для отдельных видов деятельности </w:t>
      </w:r>
      <w:r w:rsidRPr="003C6E99">
        <w:t xml:space="preserve">– </w:t>
      </w:r>
      <w:r w:rsidR="00354104">
        <w:t>22614,03</w:t>
      </w:r>
      <w:r w:rsidRPr="003C6E99">
        <w:t xml:space="preserve"> тыс. рублей или </w:t>
      </w:r>
      <w:r w:rsidR="00354104">
        <w:t>84,7</w:t>
      </w:r>
      <w:r w:rsidRPr="003C6E99">
        <w:t xml:space="preserve">%; </w:t>
      </w:r>
      <w:r w:rsidR="00354104">
        <w:t>е</w:t>
      </w:r>
      <w:r w:rsidR="00354104" w:rsidRPr="00354104">
        <w:t>диного сельскохозяйственного налога</w:t>
      </w:r>
      <w:r w:rsidRPr="003C6E99">
        <w:t xml:space="preserve"> – </w:t>
      </w:r>
      <w:r w:rsidR="006523D9">
        <w:t>18265,74</w:t>
      </w:r>
      <w:r w:rsidRPr="003C6E99">
        <w:t xml:space="preserve"> тыс. рублей или </w:t>
      </w:r>
      <w:r w:rsidR="00C16C0A">
        <w:t xml:space="preserve">113,0 </w:t>
      </w:r>
      <w:r w:rsidRPr="003C6E99">
        <w:t>%. В сравнении с 201</w:t>
      </w:r>
      <w:r w:rsidR="00C16C0A">
        <w:t>9</w:t>
      </w:r>
      <w:r w:rsidRPr="003C6E99">
        <w:t xml:space="preserve"> годом поступления указанных доходов </w:t>
      </w:r>
      <w:r w:rsidR="00407F11">
        <w:t>уменьшилось</w:t>
      </w:r>
      <w:r w:rsidRPr="003C6E99">
        <w:t xml:space="preserve"> на </w:t>
      </w:r>
      <w:r w:rsidR="00407F11">
        <w:t>41,8</w:t>
      </w:r>
      <w:r w:rsidRPr="003C6E99">
        <w:t xml:space="preserve">% или на </w:t>
      </w:r>
      <w:r w:rsidR="00407F11">
        <w:t>29432,50</w:t>
      </w:r>
      <w:r w:rsidRPr="003C6E99">
        <w:t xml:space="preserve"> тыс. рублей.</w:t>
      </w:r>
    </w:p>
    <w:p w:rsidR="00641CCB" w:rsidRDefault="00335C90" w:rsidP="006735B5">
      <w:pPr>
        <w:spacing w:line="240" w:lineRule="auto"/>
      </w:pPr>
      <w:r w:rsidRPr="00335C90">
        <w:t xml:space="preserve">Налог на имущество </w:t>
      </w:r>
      <w:r w:rsidR="00B04D0F">
        <w:t xml:space="preserve">физических лиц </w:t>
      </w:r>
      <w:r w:rsidRPr="00335C90">
        <w:t xml:space="preserve">поступил в сумме </w:t>
      </w:r>
      <w:r w:rsidR="0071425A">
        <w:t xml:space="preserve">                 </w:t>
      </w:r>
      <w:r w:rsidR="00B97362">
        <w:t>15258,26</w:t>
      </w:r>
      <w:r w:rsidR="00641CCB">
        <w:t xml:space="preserve"> </w:t>
      </w:r>
      <w:r w:rsidRPr="00335C90">
        <w:t xml:space="preserve">тыс. рублей, что на </w:t>
      </w:r>
      <w:r w:rsidR="008D353F">
        <w:t xml:space="preserve">1590,79 </w:t>
      </w:r>
      <w:r w:rsidRPr="00335C90">
        <w:t xml:space="preserve"> тыс. рублей или на </w:t>
      </w:r>
      <w:r w:rsidR="003902FE">
        <w:t>11,6</w:t>
      </w:r>
      <w:r w:rsidR="00400A81">
        <w:t xml:space="preserve"> </w:t>
      </w:r>
      <w:r w:rsidRPr="00335C90">
        <w:t xml:space="preserve">% выше уточненных годовых назначений. </w:t>
      </w:r>
      <w:proofErr w:type="gramStart"/>
      <w:r w:rsidRPr="00335C90">
        <w:t>В сравнении с 201</w:t>
      </w:r>
      <w:r w:rsidR="00641CCB">
        <w:t>9</w:t>
      </w:r>
      <w:r w:rsidRPr="00335C90">
        <w:t xml:space="preserve"> годом объем поступлений по налогу на имущество </w:t>
      </w:r>
      <w:r w:rsidR="00864037">
        <w:t>физических лиц</w:t>
      </w:r>
      <w:r w:rsidRPr="00335C90">
        <w:t xml:space="preserve"> увеличился на </w:t>
      </w:r>
      <w:r w:rsidR="00641CCB">
        <w:t>6597,53</w:t>
      </w:r>
      <w:r w:rsidRPr="00335C90">
        <w:t xml:space="preserve"> тыс. рублей или на </w:t>
      </w:r>
      <w:r w:rsidR="00641CCB">
        <w:t>76,2</w:t>
      </w:r>
      <w:r w:rsidRPr="00335C90">
        <w:t>%.</w:t>
      </w:r>
      <w:r w:rsidR="00553C22">
        <w:t xml:space="preserve"> </w:t>
      </w:r>
      <w:r w:rsidR="005F227C">
        <w:t>П</w:t>
      </w:r>
      <w:r w:rsidR="005F227C" w:rsidRPr="005F227C">
        <w:t>ричин</w:t>
      </w:r>
      <w:r w:rsidR="00936CAA">
        <w:t>а</w:t>
      </w:r>
      <w:r w:rsidR="005F227C" w:rsidRPr="005F227C">
        <w:t xml:space="preserve"> </w:t>
      </w:r>
      <w:r w:rsidR="005F227C">
        <w:t>увеличения</w:t>
      </w:r>
      <w:r w:rsidR="005F227C" w:rsidRPr="005F227C">
        <w:t xml:space="preserve"> поступлений</w:t>
      </w:r>
      <w:r w:rsidR="00936CAA">
        <w:t xml:space="preserve"> - </w:t>
      </w:r>
      <w:r w:rsidR="00936CAA" w:rsidRPr="00936CAA">
        <w:t>увеличение кадастровой стоимости, к</w:t>
      </w:r>
      <w:r w:rsidR="00936CAA">
        <w:t>оторая является налоговой базой</w:t>
      </w:r>
      <w:r w:rsidR="003902FE">
        <w:t xml:space="preserve">, а также </w:t>
      </w:r>
      <w:r w:rsidR="003902FE" w:rsidRPr="003902FE">
        <w:t>увеличение количества объектов, включенных в перечень недвижимого имущества (административно-деловые центры и торговые центры, объекты недвижимости, которые фактически используются для размещения офисов, торговых объектов, объектов общественного питания и</w:t>
      </w:r>
      <w:proofErr w:type="gramEnd"/>
      <w:r w:rsidR="003902FE" w:rsidRPr="003902FE">
        <w:t xml:space="preserve"> бытового обслуживания), в отношении которых налоговая база определяется как кадастровая стоимость (в 2018 г. – 15 объектов, в 2019 г. – 66 объектов).</w:t>
      </w:r>
      <w:r w:rsidR="00641CCB" w:rsidRPr="00641CCB">
        <w:t xml:space="preserve"> </w:t>
      </w:r>
    </w:p>
    <w:p w:rsidR="00335C90" w:rsidRPr="00335C90" w:rsidRDefault="00335C90" w:rsidP="006735B5">
      <w:pPr>
        <w:spacing w:line="240" w:lineRule="auto"/>
      </w:pPr>
      <w:r w:rsidRPr="00335C90">
        <w:t xml:space="preserve">Поступление </w:t>
      </w:r>
      <w:r w:rsidR="006F2566">
        <w:t>земельного</w:t>
      </w:r>
      <w:r w:rsidRPr="00335C90">
        <w:t xml:space="preserve"> налога составило </w:t>
      </w:r>
      <w:r w:rsidR="000949D2">
        <w:t xml:space="preserve">55671,04 </w:t>
      </w:r>
      <w:r w:rsidRPr="00335C90">
        <w:t xml:space="preserve">тыс. рублей, что на </w:t>
      </w:r>
      <w:r w:rsidR="00EF5F78">
        <w:t>1487,87</w:t>
      </w:r>
      <w:r w:rsidRPr="00335C90">
        <w:t xml:space="preserve"> тыс. рублей или </w:t>
      </w:r>
      <w:r w:rsidR="000949D2">
        <w:t>2,6</w:t>
      </w:r>
      <w:r w:rsidR="00FD149E">
        <w:t xml:space="preserve"> </w:t>
      </w:r>
      <w:r w:rsidRPr="00335C90">
        <w:t xml:space="preserve">% </w:t>
      </w:r>
      <w:r w:rsidR="000D7028">
        <w:t>ниже</w:t>
      </w:r>
      <w:r w:rsidRPr="00335C90">
        <w:t xml:space="preserve"> уточненных годовых назначений. В сравнении с 201</w:t>
      </w:r>
      <w:r w:rsidR="00EF5F78">
        <w:t>9</w:t>
      </w:r>
      <w:r w:rsidRPr="00335C90">
        <w:t xml:space="preserve"> годом объем поступлений по указанному виду налога </w:t>
      </w:r>
      <w:r w:rsidR="00EF5F78">
        <w:t>увеличился</w:t>
      </w:r>
      <w:r w:rsidRPr="00335C90">
        <w:t xml:space="preserve"> на </w:t>
      </w:r>
      <w:r w:rsidR="00EF5F78">
        <w:t>309,05</w:t>
      </w:r>
      <w:r w:rsidRPr="00335C90">
        <w:t xml:space="preserve"> тыс. рублей или на </w:t>
      </w:r>
      <w:r w:rsidR="00EF5F78">
        <w:t>0,6</w:t>
      </w:r>
      <w:r w:rsidRPr="00335C90">
        <w:t>%.</w:t>
      </w:r>
    </w:p>
    <w:p w:rsidR="00C42191" w:rsidRDefault="00C42191" w:rsidP="006735B5">
      <w:pPr>
        <w:spacing w:line="240" w:lineRule="auto"/>
      </w:pPr>
      <w:r w:rsidRPr="00C42191">
        <w:t xml:space="preserve">Государственная пошлина поступила в сумме </w:t>
      </w:r>
      <w:r w:rsidR="00877E76">
        <w:t>5553,78</w:t>
      </w:r>
      <w:r w:rsidRPr="00C42191">
        <w:t xml:space="preserve"> тыс. рублей, что </w:t>
      </w:r>
      <w:r w:rsidR="00317F97">
        <w:t>выше</w:t>
      </w:r>
      <w:r w:rsidRPr="00C42191">
        <w:t xml:space="preserve"> уточненных годовых назначений на </w:t>
      </w:r>
      <w:r w:rsidR="00877E76">
        <w:t>333,78</w:t>
      </w:r>
      <w:r w:rsidRPr="00C42191">
        <w:t xml:space="preserve"> тыс. рублей или на </w:t>
      </w:r>
      <w:r w:rsidR="00877E76">
        <w:t>6,4</w:t>
      </w:r>
      <w:r w:rsidR="00317F97">
        <w:t xml:space="preserve"> </w:t>
      </w:r>
      <w:r w:rsidRPr="00C42191">
        <w:t>%. По сравнению с аналогичным периодом 201</w:t>
      </w:r>
      <w:r w:rsidR="00877E76">
        <w:t>9</w:t>
      </w:r>
      <w:r w:rsidRPr="00C42191">
        <w:t xml:space="preserve"> года объем поступлений по указанному виду дохода </w:t>
      </w:r>
      <w:r w:rsidR="000E5111">
        <w:t>увеличился</w:t>
      </w:r>
      <w:r w:rsidRPr="00C42191">
        <w:t xml:space="preserve"> на </w:t>
      </w:r>
      <w:r w:rsidR="000E5111">
        <w:t>119</w:t>
      </w:r>
      <w:r w:rsidR="00312EE9">
        <w:t>,5</w:t>
      </w:r>
      <w:r w:rsidR="000E5111">
        <w:t>2</w:t>
      </w:r>
      <w:r w:rsidRPr="00C42191">
        <w:t xml:space="preserve"> тыс. рублей или на </w:t>
      </w:r>
      <w:r w:rsidR="000E5111">
        <w:t>2</w:t>
      </w:r>
      <w:r w:rsidR="00312EE9">
        <w:t>,2</w:t>
      </w:r>
      <w:r w:rsidRPr="00C42191">
        <w:t>%.</w:t>
      </w:r>
    </w:p>
    <w:p w:rsidR="003A21F3" w:rsidRDefault="003A21F3" w:rsidP="006735B5">
      <w:pPr>
        <w:spacing w:line="240" w:lineRule="auto"/>
      </w:pPr>
      <w:r>
        <w:t xml:space="preserve">Неналоговые доходы исполнены на </w:t>
      </w:r>
      <w:r w:rsidR="00312EE9">
        <w:t>99,0</w:t>
      </w:r>
      <w:r>
        <w:t xml:space="preserve">% к уточненным назначениям, при плане </w:t>
      </w:r>
      <w:r w:rsidR="00312EE9">
        <w:t>62279,70</w:t>
      </w:r>
      <w:r>
        <w:t xml:space="preserve"> тыс. рублей поступило </w:t>
      </w:r>
      <w:r w:rsidR="00312EE9">
        <w:t>61678,18</w:t>
      </w:r>
      <w:r>
        <w:t xml:space="preserve"> тыс. рублей. Доля неналоговых доходов в общем объеме поступивших доходов составила </w:t>
      </w:r>
      <w:r w:rsidR="00CF46E9">
        <w:t>3,2</w:t>
      </w:r>
      <w:r>
        <w:t>%.</w:t>
      </w:r>
    </w:p>
    <w:p w:rsidR="003A21F3" w:rsidRDefault="003A21F3" w:rsidP="006735B5">
      <w:pPr>
        <w:spacing w:line="240" w:lineRule="auto"/>
      </w:pPr>
      <w:r>
        <w:t>Наибольший удельный вес в структуре неналоговых доходов составляют три вида доходов: доходы от использования имущества, находящегося в государственной и муниципальной собственности</w:t>
      </w:r>
      <w:r w:rsidR="005F4368">
        <w:t xml:space="preserve"> (</w:t>
      </w:r>
      <w:r w:rsidR="00C35E0B">
        <w:t>78,8</w:t>
      </w:r>
      <w:r w:rsidR="005F4368">
        <w:t>%)</w:t>
      </w:r>
      <w:r w:rsidR="00795CAE">
        <w:t>,</w:t>
      </w:r>
      <w:r>
        <w:t xml:space="preserve"> доходы от оказания платных услуг и компенсации затрат государства</w:t>
      </w:r>
      <w:r w:rsidR="005F4368">
        <w:t xml:space="preserve"> (</w:t>
      </w:r>
      <w:r w:rsidR="00C35E0B">
        <w:t>10,4</w:t>
      </w:r>
      <w:r w:rsidR="005F4368">
        <w:t>%)</w:t>
      </w:r>
      <w:r w:rsidR="00A80FA5">
        <w:t xml:space="preserve">, </w:t>
      </w:r>
      <w:r w:rsidR="00795CAE">
        <w:t>штрафы, санкции и возмещение ущерба</w:t>
      </w:r>
      <w:r w:rsidR="005F4368">
        <w:t xml:space="preserve"> (</w:t>
      </w:r>
      <w:r w:rsidR="00C35E0B">
        <w:t>4,8</w:t>
      </w:r>
      <w:r w:rsidR="005F4368">
        <w:t>%)</w:t>
      </w:r>
      <w:r>
        <w:t>. В сравнении с 201</w:t>
      </w:r>
      <w:r w:rsidR="00C35E0B">
        <w:t>9</w:t>
      </w:r>
      <w:r>
        <w:t xml:space="preserve"> годом доля указанных доходов </w:t>
      </w:r>
      <w:r>
        <w:lastRenderedPageBreak/>
        <w:t xml:space="preserve">в общем объеме поступивших неналоговых доходов увеличилась на </w:t>
      </w:r>
      <w:r w:rsidR="00CF72BF">
        <w:t>3,5</w:t>
      </w:r>
      <w:r w:rsidR="00935D0A">
        <w:t xml:space="preserve"> %</w:t>
      </w:r>
      <w:r>
        <w:t xml:space="preserve"> (201</w:t>
      </w:r>
      <w:r w:rsidR="00FC3867">
        <w:t>9</w:t>
      </w:r>
      <w:r>
        <w:t xml:space="preserve"> год – </w:t>
      </w:r>
      <w:r w:rsidR="00FC3867">
        <w:t>90,5</w:t>
      </w:r>
      <w:r>
        <w:t>%, 20</w:t>
      </w:r>
      <w:r w:rsidR="00FC3867">
        <w:t>20</w:t>
      </w:r>
      <w:r>
        <w:t xml:space="preserve"> год – </w:t>
      </w:r>
      <w:r w:rsidR="00CB4D0F">
        <w:t>9</w:t>
      </w:r>
      <w:r w:rsidR="00FC3867">
        <w:t>4,0</w:t>
      </w:r>
      <w:r>
        <w:t>%).</w:t>
      </w:r>
    </w:p>
    <w:p w:rsidR="00EF6E61" w:rsidRDefault="00EF6E61" w:rsidP="006735B5">
      <w:pPr>
        <w:spacing w:line="240" w:lineRule="auto"/>
      </w:pPr>
      <w:r>
        <w:t>Доходы от использования имущества, находящегося в государственной или муниципальной собственности</w:t>
      </w:r>
      <w:r w:rsidR="00AE1F8F">
        <w:t xml:space="preserve"> поступили в сумме </w:t>
      </w:r>
      <w:r w:rsidR="00CF72BF">
        <w:t>48592,41</w:t>
      </w:r>
      <w:r w:rsidR="00AE1F8F">
        <w:t xml:space="preserve"> тыс. рублей или </w:t>
      </w:r>
      <w:r w:rsidR="00CF72BF">
        <w:t xml:space="preserve">101,1 </w:t>
      </w:r>
      <w:r w:rsidR="00AE1F8F">
        <w:t>%</w:t>
      </w:r>
      <w:r w:rsidR="00AE1F8F" w:rsidRPr="00AE1F8F">
        <w:t xml:space="preserve"> к уточненным плановым годовым назначениям. </w:t>
      </w:r>
      <w:r w:rsidR="00AE1F8F">
        <w:t>Поступившие за 20</w:t>
      </w:r>
      <w:r w:rsidR="00CF72BF">
        <w:t>20</w:t>
      </w:r>
      <w:r w:rsidR="00AE1F8F">
        <w:t xml:space="preserve"> год д</w:t>
      </w:r>
      <w:r w:rsidR="00AE1F8F" w:rsidRPr="00AE1F8F">
        <w:t>оходы от использования имущества, находящегося в государственной или муниципальной собственности</w:t>
      </w:r>
      <w:r w:rsidR="00FB21AE">
        <w:t>,</w:t>
      </w:r>
      <w:r w:rsidR="00AE1F8F">
        <w:t xml:space="preserve"> включаю</w:t>
      </w:r>
      <w:r w:rsidR="00430353">
        <w:t>т</w:t>
      </w:r>
      <w:r w:rsidR="00AE1F8F">
        <w:t xml:space="preserve"> в себя:</w:t>
      </w:r>
    </w:p>
    <w:p w:rsidR="00767902" w:rsidRDefault="00FB21AE" w:rsidP="006735B5">
      <w:pPr>
        <w:spacing w:line="240" w:lineRule="auto"/>
      </w:pPr>
      <w:proofErr w:type="gramStart"/>
      <w:r>
        <w:t>- д</w:t>
      </w:r>
      <w:r w:rsidR="003A21F3">
        <w:t xml:space="preserve">оходы в виде арендной платы за земельные участки поступили в сумме </w:t>
      </w:r>
      <w:r w:rsidR="00683476">
        <w:t>46709,21</w:t>
      </w:r>
      <w:r w:rsidR="003A21F3">
        <w:t xml:space="preserve"> тыс. рублей или </w:t>
      </w:r>
      <w:r w:rsidR="003B7E19">
        <w:t>100,</w:t>
      </w:r>
      <w:r w:rsidR="00683476">
        <w:t>6</w:t>
      </w:r>
      <w:r w:rsidR="003B7E19">
        <w:t xml:space="preserve"> </w:t>
      </w:r>
      <w:r w:rsidR="003A21F3">
        <w:t>% к уточненным плановым годовым назначениям</w:t>
      </w:r>
      <w:r w:rsidR="00771A0C">
        <w:t xml:space="preserve"> (причина</w:t>
      </w:r>
      <w:r w:rsidR="003A21F3">
        <w:t xml:space="preserve"> </w:t>
      </w:r>
      <w:r w:rsidR="00683476">
        <w:t>пере</w:t>
      </w:r>
      <w:r w:rsidR="003A21F3">
        <w:t>выполнени</w:t>
      </w:r>
      <w:r w:rsidR="00771A0C">
        <w:t>я</w:t>
      </w:r>
      <w:r w:rsidR="003A21F3">
        <w:t xml:space="preserve"> </w:t>
      </w:r>
      <w:r w:rsidR="00771A0C">
        <w:t>-</w:t>
      </w:r>
      <w:r w:rsidR="003A21F3">
        <w:t xml:space="preserve"> </w:t>
      </w:r>
      <w:r w:rsidR="004056B1" w:rsidRPr="004056B1">
        <w:t>изменение базовых размеров арендной платы, в соответствии с постановлением Правитель</w:t>
      </w:r>
      <w:r w:rsidR="00421FBF">
        <w:t>ства Ставропольского края от 28.12.</w:t>
      </w:r>
      <w:r w:rsidR="004056B1" w:rsidRPr="004056B1">
        <w:t>2019 г. № 633-п «О внесении изменения в порядок определения размера арендной платы за использование земельных участков, находящихся в государственной собственности Ставропольского края, и земельных</w:t>
      </w:r>
      <w:proofErr w:type="gramEnd"/>
      <w:r w:rsidR="004056B1" w:rsidRPr="004056B1">
        <w:t xml:space="preserve"> участков, государственная собственность на которые не разграничена, и предоставленных в аренду без торгов, утвержденный постановлением Правительства Ставропольского края от 26</w:t>
      </w:r>
      <w:r w:rsidR="00421FBF">
        <w:t>.12.</w:t>
      </w:r>
      <w:r w:rsidR="004056B1" w:rsidRPr="004056B1">
        <w:t xml:space="preserve">2018 г. </w:t>
      </w:r>
      <w:r w:rsidR="00421FBF">
        <w:t xml:space="preserve">             </w:t>
      </w:r>
      <w:r w:rsidR="004056B1" w:rsidRPr="004056B1">
        <w:t>№ 601-п»</w:t>
      </w:r>
      <w:r w:rsidR="00771A0C">
        <w:t>);</w:t>
      </w:r>
      <w:r w:rsidR="003A21F3">
        <w:t xml:space="preserve"> </w:t>
      </w:r>
    </w:p>
    <w:p w:rsidR="003A21F3" w:rsidRDefault="00771A0C" w:rsidP="006735B5">
      <w:pPr>
        <w:spacing w:line="240" w:lineRule="auto"/>
      </w:pPr>
      <w:r>
        <w:t>- д</w:t>
      </w:r>
      <w:r w:rsidR="003A21F3">
        <w:t>оходы от сдачи в аренду имуществ</w:t>
      </w:r>
      <w:r w:rsidR="00811A1C">
        <w:t xml:space="preserve">а, находящегося в муниципальной собственности </w:t>
      </w:r>
      <w:r w:rsidR="003A21F3">
        <w:t xml:space="preserve">поступили в сумме </w:t>
      </w:r>
      <w:r w:rsidR="00AD1593">
        <w:t xml:space="preserve">1830,14 </w:t>
      </w:r>
      <w:r w:rsidR="003A21F3">
        <w:t xml:space="preserve">тыс. рублей или </w:t>
      </w:r>
      <w:r w:rsidR="00AD1593">
        <w:t xml:space="preserve">111,9 </w:t>
      </w:r>
      <w:r w:rsidR="003A21F3">
        <w:t>% к годовым плановым назначениям.</w:t>
      </w:r>
    </w:p>
    <w:p w:rsidR="007F7536" w:rsidRDefault="007F7536" w:rsidP="006735B5">
      <w:pPr>
        <w:spacing w:line="240" w:lineRule="auto"/>
      </w:pPr>
      <w:r>
        <w:t>По сравнению с уровнем 201</w:t>
      </w:r>
      <w:r w:rsidR="00682E47">
        <w:t>9</w:t>
      </w:r>
      <w:r>
        <w:t xml:space="preserve"> года поступления</w:t>
      </w:r>
      <w:r w:rsidRPr="007F7536">
        <w:t xml:space="preserve"> доход</w:t>
      </w:r>
      <w:r>
        <w:t>ов</w:t>
      </w:r>
      <w:r w:rsidRPr="007F7536">
        <w:t xml:space="preserve"> от использования имущества, находящегося в государственной или муниципальной собственности</w:t>
      </w:r>
      <w:r w:rsidR="00BB3F3A">
        <w:t>,</w:t>
      </w:r>
      <w:r w:rsidR="00AF4426">
        <w:t xml:space="preserve"> </w:t>
      </w:r>
      <w:r w:rsidR="00FC14DB">
        <w:t>увеличились</w:t>
      </w:r>
      <w:r w:rsidR="00AF4426">
        <w:t xml:space="preserve"> </w:t>
      </w:r>
      <w:r w:rsidR="00BB3F3A" w:rsidRPr="00BB3F3A">
        <w:t xml:space="preserve">на </w:t>
      </w:r>
      <w:r w:rsidR="00682E47">
        <w:t xml:space="preserve">43,2 </w:t>
      </w:r>
      <w:r w:rsidR="00BB3F3A" w:rsidRPr="00BB3F3A">
        <w:t xml:space="preserve">% </w:t>
      </w:r>
      <w:r w:rsidR="00BB3F3A">
        <w:t xml:space="preserve">или </w:t>
      </w:r>
      <w:r w:rsidR="00AF4426">
        <w:t xml:space="preserve">на </w:t>
      </w:r>
      <w:r w:rsidR="00DE6BE4">
        <w:t xml:space="preserve">                  </w:t>
      </w:r>
      <w:r w:rsidR="00682E47">
        <w:t>4651,64</w:t>
      </w:r>
      <w:r w:rsidR="00AF4426">
        <w:t xml:space="preserve"> тыс. рублей преимущественно из-за</w:t>
      </w:r>
      <w:r w:rsidR="00BB3F3A" w:rsidRPr="00BB3F3A">
        <w:t xml:space="preserve"> доход</w:t>
      </w:r>
      <w:r w:rsidR="00BB3F3A">
        <w:t>ов</w:t>
      </w:r>
      <w:r w:rsidR="00BB3F3A" w:rsidRPr="00BB3F3A">
        <w:t xml:space="preserve"> в виде арендной платы за земельные участки</w:t>
      </w:r>
      <w:r w:rsidR="00BB3F3A">
        <w:t xml:space="preserve"> (на </w:t>
      </w:r>
      <w:r w:rsidR="00FC14DB">
        <w:t>14785,58</w:t>
      </w:r>
      <w:r w:rsidR="00B17F70">
        <w:t xml:space="preserve"> тыс. рублей).</w:t>
      </w:r>
      <w:r w:rsidR="00AD1593" w:rsidRPr="00AD1593">
        <w:t xml:space="preserve"> </w:t>
      </w:r>
    </w:p>
    <w:p w:rsidR="00602EC2" w:rsidRDefault="001B571F" w:rsidP="006735B5">
      <w:pPr>
        <w:spacing w:line="240" w:lineRule="auto"/>
      </w:pPr>
      <w:r w:rsidRPr="001B571F">
        <w:t xml:space="preserve">Поступление платежей за пользование природными ресурсами составило </w:t>
      </w:r>
      <w:r>
        <w:t>284,07</w:t>
      </w:r>
      <w:r w:rsidRPr="001B571F">
        <w:t xml:space="preserve">  тыс. рублей или </w:t>
      </w:r>
      <w:r>
        <w:t>96,7</w:t>
      </w:r>
      <w:r w:rsidRPr="001B571F">
        <w:t xml:space="preserve"> % к уточненным бюджетным назначениям на </w:t>
      </w:r>
      <w:r w:rsidR="0030420C">
        <w:t xml:space="preserve">  </w:t>
      </w:r>
      <w:r w:rsidRPr="001B571F">
        <w:t>20</w:t>
      </w:r>
      <w:r>
        <w:t>20</w:t>
      </w:r>
      <w:r w:rsidRPr="001B571F">
        <w:t xml:space="preserve"> год (</w:t>
      </w:r>
      <w:r>
        <w:t>293,81</w:t>
      </w:r>
      <w:r w:rsidRPr="001B571F">
        <w:t xml:space="preserve"> </w:t>
      </w:r>
      <w:r>
        <w:t>тыс. рублей). В сравнении с 2019</w:t>
      </w:r>
      <w:r w:rsidRPr="001B571F">
        <w:t xml:space="preserve"> годом поступления указанных доходов снизились на </w:t>
      </w:r>
      <w:r w:rsidR="00602EC2">
        <w:t>5,9</w:t>
      </w:r>
      <w:r w:rsidRPr="001B571F">
        <w:t xml:space="preserve">% или на </w:t>
      </w:r>
      <w:r w:rsidR="00602EC2">
        <w:t>17,80</w:t>
      </w:r>
      <w:r w:rsidRPr="001B571F">
        <w:t xml:space="preserve"> тыс. рублей. </w:t>
      </w:r>
    </w:p>
    <w:p w:rsidR="00C87D20" w:rsidRDefault="00C87D20" w:rsidP="006735B5">
      <w:pPr>
        <w:spacing w:line="240" w:lineRule="auto"/>
      </w:pPr>
      <w:proofErr w:type="gramStart"/>
      <w:r>
        <w:t>Поступления по доходам от оказания платных услуг (работ) и компенсации затрат государства в 20</w:t>
      </w:r>
      <w:r w:rsidR="00FC14DB">
        <w:t>20</w:t>
      </w:r>
      <w:r>
        <w:t xml:space="preserve"> году составили </w:t>
      </w:r>
      <w:r w:rsidR="002F6AB3">
        <w:t>6426,61</w:t>
      </w:r>
      <w:r>
        <w:t xml:space="preserve"> тыс. рублей, что </w:t>
      </w:r>
      <w:r w:rsidR="002F6AB3">
        <w:t>ниже</w:t>
      </w:r>
      <w:r>
        <w:t xml:space="preserve"> уточненных годовых плановых назначений на </w:t>
      </w:r>
      <w:r w:rsidR="002F6AB3">
        <w:t>1830,18</w:t>
      </w:r>
      <w:r>
        <w:t xml:space="preserve"> тыс. рублей или </w:t>
      </w:r>
      <w:r w:rsidR="002F6AB3">
        <w:t xml:space="preserve">22,2 </w:t>
      </w:r>
      <w:r>
        <w:t xml:space="preserve">%, в том числе доходы от оказания платных услуг (работ) исполнены в сумме </w:t>
      </w:r>
      <w:r w:rsidR="00430353">
        <w:t xml:space="preserve"> </w:t>
      </w:r>
      <w:r w:rsidR="00884AC4">
        <w:t>5446,57</w:t>
      </w:r>
      <w:r>
        <w:t xml:space="preserve">  тыс. рублей, доходы от компенсации затрат государства – </w:t>
      </w:r>
      <w:r w:rsidR="00884AC4">
        <w:t>980,04</w:t>
      </w:r>
      <w:r>
        <w:t xml:space="preserve"> тыс. рублей.</w:t>
      </w:r>
      <w:proofErr w:type="gramEnd"/>
      <w:r>
        <w:t xml:space="preserve"> </w:t>
      </w:r>
      <w:r w:rsidR="00530BCF" w:rsidRPr="00530BCF">
        <w:t>Поступления по данным доходам снизились относительно уровня 201</w:t>
      </w:r>
      <w:r w:rsidR="00530BCF">
        <w:t>9</w:t>
      </w:r>
      <w:r w:rsidR="00530BCF" w:rsidRPr="00530BCF">
        <w:t xml:space="preserve"> года на </w:t>
      </w:r>
      <w:r w:rsidR="00F8713B">
        <w:t>3727,78</w:t>
      </w:r>
      <w:r w:rsidR="00530BCF" w:rsidRPr="00530BCF">
        <w:t xml:space="preserve"> тыс. рублей или на </w:t>
      </w:r>
      <w:r w:rsidR="00F8713B">
        <w:t>36,7</w:t>
      </w:r>
      <w:r w:rsidR="00530BCF" w:rsidRPr="00530BCF">
        <w:t>%.</w:t>
      </w:r>
    </w:p>
    <w:p w:rsidR="008021DE" w:rsidRDefault="008021DE" w:rsidP="006735B5">
      <w:pPr>
        <w:spacing w:line="240" w:lineRule="auto"/>
      </w:pPr>
      <w:r>
        <w:t>Перевыполнение</w:t>
      </w:r>
      <w:r w:rsidR="00C87D20">
        <w:t xml:space="preserve"> годовых плановых назначений по доходам от оказания платных услуг (работ) и компенсации затрат государства обеспечено: администрацией </w:t>
      </w:r>
      <w:proofErr w:type="spellStart"/>
      <w:r w:rsidR="00C87D20">
        <w:t>Ипатовского</w:t>
      </w:r>
      <w:proofErr w:type="spellEnd"/>
      <w:r w:rsidR="00C87D20">
        <w:t xml:space="preserve"> городского округа Ставропольского края (</w:t>
      </w:r>
      <w:r w:rsidR="00005275">
        <w:t>109,0</w:t>
      </w:r>
      <w:r w:rsidR="00C87D20">
        <w:t xml:space="preserve">%); </w:t>
      </w:r>
      <w:r>
        <w:t>управлением труда и социальной защиты населения (132,1 %).</w:t>
      </w:r>
    </w:p>
    <w:p w:rsidR="00005275" w:rsidRDefault="00005275" w:rsidP="006735B5">
      <w:pPr>
        <w:spacing w:line="240" w:lineRule="auto"/>
      </w:pPr>
      <w:r w:rsidRPr="00005275">
        <w:t>Не обеспечено исполнение в полном объеме годовых плановых назначений</w:t>
      </w:r>
      <w:r w:rsidR="008021DE" w:rsidRPr="008021DE">
        <w:t xml:space="preserve"> по доходам от оказания платных услуг (работ) и компенсации затрат государства</w:t>
      </w:r>
      <w:r w:rsidR="004D3CEB" w:rsidRPr="004D3CEB">
        <w:t xml:space="preserve"> отделом культуры администрации </w:t>
      </w:r>
      <w:proofErr w:type="spellStart"/>
      <w:r w:rsidR="004D3CEB" w:rsidRPr="004D3CEB">
        <w:t>Ипатовского</w:t>
      </w:r>
      <w:proofErr w:type="spellEnd"/>
      <w:r w:rsidR="004D3CEB" w:rsidRPr="004D3CEB">
        <w:t xml:space="preserve"> городского округа Ставропольского края (</w:t>
      </w:r>
      <w:r w:rsidR="004D3CEB">
        <w:t xml:space="preserve">53,4 </w:t>
      </w:r>
      <w:r w:rsidR="004D3CEB" w:rsidRPr="004D3CEB">
        <w:t xml:space="preserve">%); отделом образования администрации </w:t>
      </w:r>
      <w:proofErr w:type="spellStart"/>
      <w:r w:rsidR="004D3CEB" w:rsidRPr="004D3CEB">
        <w:lastRenderedPageBreak/>
        <w:t>Ипатовского</w:t>
      </w:r>
      <w:proofErr w:type="spellEnd"/>
      <w:r w:rsidR="004D3CEB" w:rsidRPr="004D3CEB">
        <w:t xml:space="preserve"> городского округа Ставропольского края (</w:t>
      </w:r>
      <w:r w:rsidR="004D3CEB">
        <w:t>76</w:t>
      </w:r>
      <w:r w:rsidR="004D3CEB" w:rsidRPr="004D3CEB">
        <w:t xml:space="preserve">,9%). Основная причина снижения всех поступлений – приостановление деятельности учреждений образования, культуры в условиях распространения новой </w:t>
      </w:r>
      <w:proofErr w:type="spellStart"/>
      <w:r w:rsidR="004D3CEB" w:rsidRPr="004D3CEB">
        <w:t>коронавирусной</w:t>
      </w:r>
      <w:proofErr w:type="spellEnd"/>
      <w:r w:rsidR="004D3CEB" w:rsidRPr="004D3CEB">
        <w:t xml:space="preserve"> инфекции.</w:t>
      </w:r>
    </w:p>
    <w:p w:rsidR="007507FB" w:rsidRDefault="007507FB" w:rsidP="006735B5">
      <w:pPr>
        <w:spacing w:line="240" w:lineRule="auto"/>
      </w:pPr>
      <w:r w:rsidRPr="007507FB">
        <w:t xml:space="preserve">Административные платежи и сборы поступили в </w:t>
      </w:r>
      <w:r>
        <w:t>местный</w:t>
      </w:r>
      <w:r w:rsidRPr="007507FB">
        <w:t xml:space="preserve"> бюджет в сумме </w:t>
      </w:r>
      <w:r>
        <w:t>1115,79</w:t>
      </w:r>
      <w:r w:rsidRPr="007507FB">
        <w:t xml:space="preserve"> тыс. рублей или </w:t>
      </w:r>
      <w:r w:rsidR="00074AEC">
        <w:t>121,3</w:t>
      </w:r>
      <w:r w:rsidRPr="007507FB">
        <w:t xml:space="preserve">% к </w:t>
      </w:r>
      <w:r w:rsidR="00074AEC">
        <w:t>уточненным</w:t>
      </w:r>
      <w:r w:rsidRPr="007507FB">
        <w:t xml:space="preserve"> годовым плановым назначениям. По сравнению с 201</w:t>
      </w:r>
      <w:r>
        <w:t>9</w:t>
      </w:r>
      <w:r w:rsidRPr="007507FB">
        <w:t xml:space="preserve"> год</w:t>
      </w:r>
      <w:r w:rsidR="00246970">
        <w:t>ом</w:t>
      </w:r>
      <w:r w:rsidRPr="007507FB">
        <w:t xml:space="preserve"> наблюдается рост общего объема административных платежей и сборов – на </w:t>
      </w:r>
      <w:r w:rsidR="00074AEC">
        <w:t>83</w:t>
      </w:r>
      <w:r w:rsidR="00F53D75">
        <w:t>,79</w:t>
      </w:r>
      <w:r w:rsidRPr="007507FB">
        <w:t xml:space="preserve"> тыс. рублей или на </w:t>
      </w:r>
      <w:r w:rsidR="00074AEC">
        <w:t>8,1</w:t>
      </w:r>
      <w:r w:rsidR="0091626C">
        <w:t xml:space="preserve">% </w:t>
      </w:r>
      <w:r w:rsidRPr="007507FB">
        <w:t>(в 20</w:t>
      </w:r>
      <w:r w:rsidR="0091626C">
        <w:t>19</w:t>
      </w:r>
      <w:r w:rsidRPr="007507FB">
        <w:t xml:space="preserve"> году – </w:t>
      </w:r>
      <w:r w:rsidR="0091626C">
        <w:t>1032,00</w:t>
      </w:r>
      <w:r w:rsidRPr="007507FB">
        <w:t xml:space="preserve"> тыс. рублей).</w:t>
      </w:r>
    </w:p>
    <w:p w:rsidR="00612DB4" w:rsidRDefault="00612DB4" w:rsidP="006735B5">
      <w:pPr>
        <w:spacing w:line="240" w:lineRule="auto"/>
      </w:pPr>
      <w:proofErr w:type="gramStart"/>
      <w:r>
        <w:t xml:space="preserve">Поступления доходов от продажи материальных и нематериальных активов составили </w:t>
      </w:r>
      <w:r w:rsidR="00602EC2">
        <w:t>1942,20</w:t>
      </w:r>
      <w:r w:rsidR="00F4207E">
        <w:t xml:space="preserve"> </w:t>
      </w:r>
      <w:r>
        <w:t xml:space="preserve">тыс. рублей, что выше </w:t>
      </w:r>
      <w:r w:rsidR="00602EC2">
        <w:t xml:space="preserve">уточненных </w:t>
      </w:r>
      <w:r>
        <w:t xml:space="preserve">годовых плановых назначений на </w:t>
      </w:r>
      <w:r w:rsidR="00430353">
        <w:t xml:space="preserve"> </w:t>
      </w:r>
      <w:r w:rsidR="00867E53">
        <w:t>342,20</w:t>
      </w:r>
      <w:r>
        <w:t xml:space="preserve"> тыс. рублей или </w:t>
      </w:r>
      <w:r w:rsidR="00867E53">
        <w:t>21,4</w:t>
      </w:r>
      <w:r w:rsidR="00F4207E">
        <w:t xml:space="preserve"> </w:t>
      </w:r>
      <w:r>
        <w:t>%, в том числе: доходы от реализации имущества –</w:t>
      </w:r>
      <w:r w:rsidR="00867E53">
        <w:t xml:space="preserve"> 572,41 </w:t>
      </w:r>
      <w:r>
        <w:t>тыс. рублей (201</w:t>
      </w:r>
      <w:r w:rsidR="00867E53">
        <w:t>9</w:t>
      </w:r>
      <w:r>
        <w:t xml:space="preserve"> год – </w:t>
      </w:r>
      <w:r w:rsidR="00867E53" w:rsidRPr="00867E53">
        <w:t xml:space="preserve">421,37 </w:t>
      </w:r>
      <w:r>
        <w:t>тыс. рублей); доходы от продажи земельных участков –</w:t>
      </w:r>
      <w:r w:rsidR="003E1DDF">
        <w:t xml:space="preserve"> 1286,32 </w:t>
      </w:r>
      <w:r>
        <w:t>тыс. рублей (201</w:t>
      </w:r>
      <w:r w:rsidR="003E1DDF">
        <w:t>9</w:t>
      </w:r>
      <w:r>
        <w:t xml:space="preserve"> год – </w:t>
      </w:r>
      <w:r w:rsidR="003E1DDF" w:rsidRPr="003E1DDF">
        <w:t xml:space="preserve">3673,19 </w:t>
      </w:r>
      <w:r>
        <w:t>тыс. рублей).</w:t>
      </w:r>
      <w:proofErr w:type="gramEnd"/>
    </w:p>
    <w:p w:rsidR="003E1DDF" w:rsidRDefault="003E1DDF" w:rsidP="006735B5">
      <w:pPr>
        <w:spacing w:line="240" w:lineRule="auto"/>
      </w:pPr>
      <w:proofErr w:type="gramStart"/>
      <w:r w:rsidRPr="003E1DDF">
        <w:t xml:space="preserve">Доходы от штрафов, санкции и возмещения ущерба поступили в сумме 2951,40 тыс. рублей, что выше уточненных годовых плановых назначений на </w:t>
      </w:r>
      <w:r w:rsidR="009B7C9C">
        <w:t xml:space="preserve">   </w:t>
      </w:r>
      <w:r w:rsidRPr="003E1DDF">
        <w:t xml:space="preserve"> 45,90  тыс. рублей или на 1,6 %. По сравнению с уровнем 2019 года поступления указанного дохода в местный бюджет снизились на</w:t>
      </w:r>
      <w:r w:rsidR="00DE6BE4">
        <w:t xml:space="preserve">             </w:t>
      </w:r>
      <w:r w:rsidRPr="003E1DDF">
        <w:t xml:space="preserve"> 3720,82 тыс. рублей или 55,8%. Снижение произошло в связи с изменениями с 1 января 2020 года порядка распределения между уровнями</w:t>
      </w:r>
      <w:proofErr w:type="gramEnd"/>
      <w:r w:rsidRPr="003E1DDF">
        <w:t xml:space="preserve"> бюджетов бюджетной системы Российской Федерации административных штрафов в соответствии с Федеральным законом от 15</w:t>
      </w:r>
      <w:r w:rsidR="0030420C">
        <w:t>.04.</w:t>
      </w:r>
      <w:r w:rsidRPr="003E1DDF">
        <w:t xml:space="preserve"> 2019 года № 62-ФЗ «О внесении изменений в Бюджетный кодекс Российской Федерации».</w:t>
      </w:r>
    </w:p>
    <w:p w:rsidR="000053FB" w:rsidRDefault="000053FB" w:rsidP="006735B5">
      <w:pPr>
        <w:spacing w:line="240" w:lineRule="auto"/>
      </w:pPr>
      <w:r w:rsidRPr="000053FB">
        <w:t>В 20</w:t>
      </w:r>
      <w:r w:rsidR="003E1DDF">
        <w:t>20</w:t>
      </w:r>
      <w:r w:rsidRPr="000053FB">
        <w:t xml:space="preserve"> году получены </w:t>
      </w:r>
      <w:r w:rsidR="002C1323">
        <w:t xml:space="preserve">прочие неналоговые </w:t>
      </w:r>
      <w:r w:rsidRPr="000053FB">
        <w:t xml:space="preserve">доходы в сумме </w:t>
      </w:r>
      <w:r w:rsidR="00DE6BE4">
        <w:t xml:space="preserve">              </w:t>
      </w:r>
      <w:r w:rsidR="00414226">
        <w:t>365,70</w:t>
      </w:r>
      <w:r w:rsidRPr="000053FB">
        <w:t xml:space="preserve"> тыс. рублей</w:t>
      </w:r>
      <w:r w:rsidR="00C0375C">
        <w:t xml:space="preserve"> (201</w:t>
      </w:r>
      <w:r w:rsidR="00414226">
        <w:t>9</w:t>
      </w:r>
      <w:r w:rsidR="00C0375C">
        <w:t xml:space="preserve"> год – </w:t>
      </w:r>
      <w:r w:rsidR="00414226">
        <w:t>69,62</w:t>
      </w:r>
      <w:r w:rsidR="00C0375C">
        <w:t xml:space="preserve"> тыс. рублей)</w:t>
      </w:r>
      <w:r w:rsidRPr="000053FB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Безвозмездные поступления в доход бюджета </w:t>
      </w:r>
      <w:proofErr w:type="spellStart"/>
      <w:r w:rsidR="00E54B90">
        <w:t>Ипатовского</w:t>
      </w:r>
      <w:proofErr w:type="spellEnd"/>
      <w:r w:rsidR="00E54B90">
        <w:t xml:space="preserve"> городского округа </w:t>
      </w:r>
      <w:r w:rsidRPr="00335C90">
        <w:t xml:space="preserve">Ставропольского края составили </w:t>
      </w:r>
      <w:r w:rsidR="00414226">
        <w:t>1509791,16</w:t>
      </w:r>
      <w:r w:rsidRPr="00335C90">
        <w:t xml:space="preserve"> тыс. рублей, что ниже уточненных плановых бюджетных назначений на </w:t>
      </w:r>
      <w:r w:rsidR="00414226">
        <w:t>19567,45</w:t>
      </w:r>
      <w:r w:rsidRPr="00335C90">
        <w:t xml:space="preserve"> тыс. рублей или на </w:t>
      </w:r>
      <w:r w:rsidR="00EB2A64">
        <w:t>1,3</w:t>
      </w:r>
      <w:r w:rsidR="00F20270">
        <w:t xml:space="preserve"> </w:t>
      </w:r>
      <w:r w:rsidRPr="00335C90">
        <w:t>% и выше первоначальных бюджетных назначений на</w:t>
      </w:r>
      <w:r w:rsidR="00DE6BE4">
        <w:t xml:space="preserve">                     </w:t>
      </w:r>
      <w:r w:rsidRPr="00335C90">
        <w:t xml:space="preserve"> </w:t>
      </w:r>
      <w:r w:rsidR="00165937">
        <w:t>252609,05</w:t>
      </w:r>
      <w:r w:rsidRPr="00335C90">
        <w:t xml:space="preserve"> тыс. рублей или на </w:t>
      </w:r>
      <w:r w:rsidR="00EB2A64">
        <w:t>20,1</w:t>
      </w:r>
      <w:r w:rsidRPr="00335C90">
        <w:t>%.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общем объеме безвозмездных поступлений </w:t>
      </w:r>
      <w:r w:rsidR="006D30B6">
        <w:t>100,6</w:t>
      </w:r>
      <w:r w:rsidR="00C62A2F">
        <w:t xml:space="preserve"> </w:t>
      </w:r>
      <w:r w:rsidRPr="00335C90">
        <w:t>% приходится на безвозмездные поступления от других бюджетов бюджетной системы Российской Федерации, их структура приведена в следующей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46"/>
        <w:gridCol w:w="2523"/>
        <w:gridCol w:w="2268"/>
        <w:gridCol w:w="1417"/>
      </w:tblGrid>
      <w:tr w:rsidR="008B0BA5" w:rsidRPr="008B0BA5" w:rsidTr="008D5536">
        <w:trPr>
          <w:trHeight w:val="527"/>
          <w:tblHeader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8B0BA5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A5" w:rsidRPr="008B0BA5" w:rsidRDefault="008B0BA5" w:rsidP="0045328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Утверж</w:t>
            </w:r>
            <w:r w:rsidR="00453288">
              <w:rPr>
                <w:color w:val="000000"/>
                <w:sz w:val="24"/>
                <w:szCs w:val="24"/>
              </w:rPr>
              <w:t>дено решением Думы ИГО СК от 17.12.</w:t>
            </w:r>
            <w:r w:rsidRPr="008B0BA5">
              <w:rPr>
                <w:color w:val="000000"/>
                <w:sz w:val="24"/>
                <w:szCs w:val="24"/>
              </w:rPr>
              <w:t>2019 г. № 117 (в ред. от 15.12.2020), тыс. рублей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 xml:space="preserve">Исполнено за 2020 год </w:t>
            </w:r>
          </w:p>
        </w:tc>
      </w:tr>
      <w:tr w:rsidR="008B0BA5" w:rsidRPr="008B0BA5" w:rsidTr="008D5536">
        <w:trPr>
          <w:trHeight w:val="847"/>
          <w:tblHeader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%</w:t>
            </w:r>
          </w:p>
        </w:tc>
      </w:tr>
      <w:tr w:rsidR="008B0BA5" w:rsidRPr="008B0BA5" w:rsidTr="008D5536">
        <w:trPr>
          <w:trHeight w:val="126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РФ, из них: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1536988,89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1518502,94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8B0BA5" w:rsidRPr="008B0BA5" w:rsidTr="008D5536">
        <w:trPr>
          <w:trHeight w:val="31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444914,00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444914,00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B0BA5" w:rsidRPr="008B0BA5" w:rsidTr="008D5536">
        <w:trPr>
          <w:trHeight w:val="31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221781,40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214333,79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96,64</w:t>
            </w:r>
          </w:p>
        </w:tc>
      </w:tr>
      <w:tr w:rsidR="008B0BA5" w:rsidRPr="008B0BA5" w:rsidTr="008D5536">
        <w:trPr>
          <w:trHeight w:val="315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858673,77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848171,88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98,78</w:t>
            </w:r>
          </w:p>
        </w:tc>
      </w:tr>
      <w:tr w:rsidR="008B0BA5" w:rsidRPr="008B0BA5" w:rsidTr="008D5536">
        <w:trPr>
          <w:trHeight w:val="63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0BA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11619,72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11083,27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BA5" w:rsidRPr="008B0BA5" w:rsidRDefault="008B0BA5" w:rsidP="008B0BA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B0BA5">
              <w:rPr>
                <w:color w:val="000000"/>
                <w:sz w:val="22"/>
                <w:szCs w:val="22"/>
              </w:rPr>
              <w:t>95,38</w:t>
            </w:r>
          </w:p>
        </w:tc>
      </w:tr>
    </w:tbl>
    <w:p w:rsidR="008B0BA5" w:rsidRDefault="008B0BA5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t xml:space="preserve">Наибольший объем безвозмездных поступлений составляют </w:t>
      </w:r>
      <w:r w:rsidR="0042015F">
        <w:t>субвенции</w:t>
      </w:r>
      <w:r w:rsidR="004E4BB4">
        <w:t>,</w:t>
      </w:r>
      <w:r w:rsidR="0042015F">
        <w:t xml:space="preserve"> </w:t>
      </w:r>
      <w:r w:rsidR="00FA7207" w:rsidRPr="00FA7207">
        <w:t>получаемые на исполнение переданных отдельных государственных полномочий</w:t>
      </w:r>
      <w:r w:rsidRPr="00335C90">
        <w:t>, доля которых в 20</w:t>
      </w:r>
      <w:r w:rsidR="006D30B6">
        <w:t>20</w:t>
      </w:r>
      <w:r w:rsidRPr="00335C90">
        <w:t xml:space="preserve"> году составила</w:t>
      </w:r>
      <w:r w:rsidR="006D30B6">
        <w:t xml:space="preserve"> </w:t>
      </w:r>
      <w:r w:rsidR="00D637FE">
        <w:t>56,2</w:t>
      </w:r>
      <w:r w:rsidRPr="00335C90">
        <w:t xml:space="preserve"> % (в 201</w:t>
      </w:r>
      <w:r w:rsidR="006D30B6">
        <w:t>9</w:t>
      </w:r>
      <w:r w:rsidRPr="00335C90">
        <w:t xml:space="preserve"> году – </w:t>
      </w:r>
      <w:r w:rsidR="006D30B6" w:rsidRPr="006D30B6">
        <w:t xml:space="preserve">55,1 </w:t>
      </w:r>
      <w:r w:rsidRPr="00335C90">
        <w:t xml:space="preserve">%). </w:t>
      </w:r>
      <w:r w:rsidR="00F929CA">
        <w:t>Субвенции</w:t>
      </w:r>
      <w:r w:rsidRPr="00335C90">
        <w:t xml:space="preserve"> поступили в сумме </w:t>
      </w:r>
      <w:r w:rsidR="00D67B35">
        <w:t>848171,88</w:t>
      </w:r>
      <w:r w:rsidR="00F929CA">
        <w:t xml:space="preserve"> </w:t>
      </w:r>
      <w:r w:rsidRPr="00335C90">
        <w:t xml:space="preserve"> тыс. рублей или </w:t>
      </w:r>
      <w:r w:rsidR="00D67B35">
        <w:t xml:space="preserve">98,8 </w:t>
      </w:r>
      <w:r w:rsidRPr="00335C90">
        <w:t>% от уточненных плановых бюджетных назначений. В сравнении с 201</w:t>
      </w:r>
      <w:r w:rsidR="00D67B35">
        <w:t>9</w:t>
      </w:r>
      <w:r w:rsidRPr="00335C90">
        <w:t xml:space="preserve"> годом объем </w:t>
      </w:r>
      <w:r w:rsidR="00F929CA">
        <w:t>субвенций</w:t>
      </w:r>
      <w:r w:rsidRPr="00335C90">
        <w:t xml:space="preserve"> </w:t>
      </w:r>
      <w:r w:rsidR="00D67B35">
        <w:t>увеличи</w:t>
      </w:r>
      <w:r w:rsidR="007972F3">
        <w:t>лся</w:t>
      </w:r>
      <w:r w:rsidRPr="00335C90">
        <w:t xml:space="preserve"> на </w:t>
      </w:r>
      <w:r w:rsidR="00D67B35">
        <w:t>175716,71</w:t>
      </w:r>
      <w:r w:rsidRPr="00335C90">
        <w:t xml:space="preserve"> тыс. рублей или на </w:t>
      </w:r>
      <w:r w:rsidR="00EC0BAE">
        <w:t>26,1</w:t>
      </w:r>
      <w:r w:rsidRPr="00335C90">
        <w:t>%</w:t>
      </w:r>
      <w:r w:rsidR="00882505">
        <w:t>.</w:t>
      </w:r>
      <w:r w:rsidRPr="00335C90">
        <w:t xml:space="preserve"> </w:t>
      </w:r>
    </w:p>
    <w:p w:rsidR="00335C90" w:rsidRDefault="00335C90" w:rsidP="006735B5">
      <w:pPr>
        <w:spacing w:line="240" w:lineRule="auto"/>
      </w:pPr>
      <w:r w:rsidRPr="00335C90">
        <w:t xml:space="preserve">Поступления субсидий составили </w:t>
      </w:r>
      <w:r w:rsidR="00D637FE">
        <w:t xml:space="preserve">214333,79 </w:t>
      </w:r>
      <w:r w:rsidRPr="00335C90">
        <w:t xml:space="preserve">тыс. рублей или </w:t>
      </w:r>
      <w:r w:rsidR="00D637FE">
        <w:t>96,6</w:t>
      </w:r>
      <w:r w:rsidR="00E75F3F">
        <w:t xml:space="preserve"> </w:t>
      </w:r>
      <w:r w:rsidRPr="00335C90">
        <w:t xml:space="preserve">% к утвержденным плановым назначениям, удельный вес – </w:t>
      </w:r>
      <w:r w:rsidR="00AC3449">
        <w:t>14,2</w:t>
      </w:r>
      <w:r w:rsidR="00E75F3F">
        <w:t xml:space="preserve"> </w:t>
      </w:r>
      <w:r w:rsidRPr="00335C90">
        <w:t xml:space="preserve">% от общего объема безвозмездных поступлений. Объем неисполненных бюджетных назначений по субсидиям сложился в сумме </w:t>
      </w:r>
      <w:r w:rsidR="00AC3449">
        <w:t>7447,61</w:t>
      </w:r>
      <w:r w:rsidRPr="00335C90">
        <w:t xml:space="preserve"> тыс. рублей. По сравнению с 201</w:t>
      </w:r>
      <w:r w:rsidR="00AC3449">
        <w:t>9</w:t>
      </w:r>
      <w:r w:rsidRPr="00335C90">
        <w:t xml:space="preserve"> годом поступления </w:t>
      </w:r>
      <w:r w:rsidR="00AC3449">
        <w:t>сниз</w:t>
      </w:r>
      <w:r w:rsidRPr="00335C90">
        <w:t xml:space="preserve">ились на </w:t>
      </w:r>
      <w:r w:rsidR="00AC3449">
        <w:t>304491,31</w:t>
      </w:r>
      <w:r w:rsidRPr="00335C90">
        <w:t xml:space="preserve"> тыс. рублей или </w:t>
      </w:r>
      <w:r w:rsidR="00CD1621">
        <w:t>58,7</w:t>
      </w:r>
      <w:r w:rsidR="009A2F4C">
        <w:t xml:space="preserve"> </w:t>
      </w:r>
      <w:r w:rsidRPr="00335C90">
        <w:t>%.</w:t>
      </w:r>
    </w:p>
    <w:p w:rsidR="00175150" w:rsidRDefault="00175150" w:rsidP="006735B5">
      <w:pPr>
        <w:spacing w:line="240" w:lineRule="auto"/>
      </w:pPr>
      <w:r w:rsidRPr="00175150">
        <w:t xml:space="preserve">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составили </w:t>
      </w:r>
      <w:r w:rsidR="008D5536">
        <w:t xml:space="preserve"> </w:t>
      </w:r>
      <w:r w:rsidR="00763A7E">
        <w:t>125510,01</w:t>
      </w:r>
      <w:r w:rsidRPr="00175150">
        <w:t xml:space="preserve"> тыс. рублей или 100,0% к годовым плановым назначениям.</w:t>
      </w:r>
    </w:p>
    <w:p w:rsidR="00175150" w:rsidRDefault="00175150" w:rsidP="006735B5">
      <w:pPr>
        <w:spacing w:line="240" w:lineRule="auto"/>
      </w:pPr>
      <w:r w:rsidRPr="00175150">
        <w:t xml:space="preserve">Субсидии на создание в общеобразовательных организациях, расположенных в сельской местности, условий для занятий физической культурой и спортом составили </w:t>
      </w:r>
      <w:r w:rsidR="00763A7E">
        <w:t>1645,44</w:t>
      </w:r>
      <w:r w:rsidRPr="00175150">
        <w:t xml:space="preserve"> тыс. рублей или 100,0% к годовым плановым назначениям.</w:t>
      </w:r>
    </w:p>
    <w:p w:rsidR="00763A7E" w:rsidRDefault="00763A7E" w:rsidP="006735B5">
      <w:pPr>
        <w:spacing w:line="240" w:lineRule="auto"/>
      </w:pPr>
      <w:r w:rsidRPr="00763A7E">
        <w:t>Субсиди</w:t>
      </w:r>
      <w:r>
        <w:t>я</w:t>
      </w:r>
      <w:r w:rsidR="0092742B">
        <w:t xml:space="preserve"> </w:t>
      </w:r>
      <w:r w:rsidRPr="00763A7E">
        <w:t xml:space="preserve">на </w:t>
      </w:r>
      <w:proofErr w:type="spellStart"/>
      <w:r w:rsidRPr="00763A7E">
        <w:t>софинансирование</w:t>
      </w:r>
      <w:proofErr w:type="spellEnd"/>
      <w:r w:rsidRPr="00763A7E">
        <w:t xml:space="preserve"> расходных обязательств субъектов Российской Федерации, связанных с реализацией федеральной целевой программы </w:t>
      </w:r>
      <w:r>
        <w:t>«</w:t>
      </w:r>
      <w:r w:rsidRPr="00763A7E">
        <w:t>Увековечение памяти погибших при защите Отечества на 2019 - 2024 годы</w:t>
      </w:r>
      <w:r>
        <w:t>»</w:t>
      </w:r>
      <w:r w:rsidR="00261DE0">
        <w:t xml:space="preserve"> составила 3939,29 тыс. рублей или 94,6 % </w:t>
      </w:r>
      <w:r w:rsidR="00261DE0" w:rsidRPr="00261DE0">
        <w:t>к годовым плановым назначениям.</w:t>
      </w:r>
    </w:p>
    <w:p w:rsidR="0092742B" w:rsidRDefault="0092742B" w:rsidP="006735B5">
      <w:pPr>
        <w:spacing w:line="240" w:lineRule="auto"/>
      </w:pPr>
      <w:r w:rsidRPr="0092742B">
        <w:t>Субсиди</w:t>
      </w:r>
      <w:r>
        <w:t>я</w:t>
      </w:r>
      <w:r w:rsidRPr="0092742B"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t xml:space="preserve"> составила 11495,99 тыс. рублей или 99,4</w:t>
      </w:r>
      <w:r w:rsidRPr="0092742B">
        <w:t xml:space="preserve"> к годовым плановым назначениям.</w:t>
      </w:r>
    </w:p>
    <w:p w:rsidR="00175150" w:rsidRDefault="00175150" w:rsidP="006735B5">
      <w:pPr>
        <w:spacing w:line="240" w:lineRule="auto"/>
      </w:pPr>
      <w:r w:rsidRPr="00175150">
        <w:t xml:space="preserve">Субсидия на поддержку отрасли культуры составила </w:t>
      </w:r>
      <w:r w:rsidR="004E07E1">
        <w:t>118,56</w:t>
      </w:r>
      <w:r w:rsidRPr="00175150">
        <w:t xml:space="preserve"> тыс. рублей или 100,0% к годовым плановым назначениям.</w:t>
      </w:r>
    </w:p>
    <w:p w:rsidR="004E07E1" w:rsidRDefault="004E07E1" w:rsidP="006735B5">
      <w:pPr>
        <w:spacing w:line="240" w:lineRule="auto"/>
      </w:pPr>
      <w:r w:rsidRPr="004E07E1">
        <w:t>Субсидии на обеспечение комплексного развития сельских территорий</w:t>
      </w:r>
      <w:r>
        <w:t xml:space="preserve"> </w:t>
      </w:r>
      <w:r w:rsidR="00527B06">
        <w:t>1955,54</w:t>
      </w:r>
      <w:r w:rsidRPr="004E07E1">
        <w:t xml:space="preserve"> тыс. рублей или 100,0% к годовым плановым назначениям.</w:t>
      </w:r>
    </w:p>
    <w:p w:rsidR="00335C90" w:rsidRPr="00335C90" w:rsidRDefault="00335C90" w:rsidP="006735B5">
      <w:pPr>
        <w:spacing w:line="240" w:lineRule="auto"/>
      </w:pPr>
      <w:r w:rsidRPr="00335C90">
        <w:t xml:space="preserve">Кроме того в бюджет </w:t>
      </w:r>
      <w:proofErr w:type="spellStart"/>
      <w:r w:rsidR="00BC6004">
        <w:t>Ипатовского</w:t>
      </w:r>
      <w:proofErr w:type="spellEnd"/>
      <w:r w:rsidR="00BC6004">
        <w:t xml:space="preserve"> городского округа </w:t>
      </w:r>
      <w:r w:rsidRPr="00335C90">
        <w:t xml:space="preserve">Ставропольского края поступили прочие субсидии </w:t>
      </w:r>
      <w:proofErr w:type="gramStart"/>
      <w:r w:rsidRPr="00335C90">
        <w:t>на</w:t>
      </w:r>
      <w:proofErr w:type="gramEnd"/>
      <w:r w:rsidRPr="00335C90">
        <w:t>:</w:t>
      </w:r>
    </w:p>
    <w:p w:rsidR="00335C90" w:rsidRDefault="00335C90" w:rsidP="006735B5">
      <w:pPr>
        <w:spacing w:line="240" w:lineRule="auto"/>
      </w:pPr>
      <w:r w:rsidRPr="00335C90">
        <w:lastRenderedPageBreak/>
        <w:t xml:space="preserve">- </w:t>
      </w:r>
      <w:r w:rsidR="00E526EE" w:rsidRPr="00E526EE">
        <w:t>реализаци</w:t>
      </w:r>
      <w:r w:rsidR="00535202">
        <w:t>ю</w:t>
      </w:r>
      <w:r w:rsidR="00E526EE" w:rsidRPr="00E526EE">
        <w:t xml:space="preserve"> проектов развития территорий муниципальных образований, основанных на местных инициативах</w:t>
      </w:r>
      <w:r w:rsidRPr="00335C90">
        <w:t xml:space="preserve">– </w:t>
      </w:r>
      <w:r w:rsidR="00AA2F44">
        <w:t>23362,88</w:t>
      </w:r>
      <w:r w:rsidR="00C320DD">
        <w:t xml:space="preserve"> тыс. рублей</w:t>
      </w:r>
      <w:r w:rsidRPr="00335C90">
        <w:t xml:space="preserve"> или </w:t>
      </w:r>
      <w:r w:rsidR="00AA2F44">
        <w:t>99,8</w:t>
      </w:r>
      <w:r w:rsidR="005035E8">
        <w:t xml:space="preserve"> </w:t>
      </w:r>
      <w:r w:rsidRPr="00335C90">
        <w:t>% к годовым плановым назначениям;</w:t>
      </w:r>
    </w:p>
    <w:p w:rsidR="00BD7A16" w:rsidRDefault="00BD7A16" w:rsidP="006735B5">
      <w:pPr>
        <w:spacing w:line="240" w:lineRule="auto"/>
      </w:pPr>
      <w:r>
        <w:t>- п</w:t>
      </w:r>
      <w:r w:rsidRPr="00BD7A16">
        <w:t>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Великой Отечественной войне</w:t>
      </w:r>
      <w:r>
        <w:t xml:space="preserve"> </w:t>
      </w:r>
      <w:r w:rsidR="00304610">
        <w:t>–</w:t>
      </w:r>
      <w:r>
        <w:t xml:space="preserve"> </w:t>
      </w:r>
      <w:r w:rsidR="00304610">
        <w:t xml:space="preserve">2536,15 тыс. рублей или 100,0 % </w:t>
      </w:r>
      <w:r w:rsidR="00304610" w:rsidRPr="00304610">
        <w:t>к годовым плановым назначениям;</w:t>
      </w:r>
    </w:p>
    <w:p w:rsidR="00304610" w:rsidRDefault="00304610" w:rsidP="006735B5">
      <w:pPr>
        <w:spacing w:line="240" w:lineRule="auto"/>
      </w:pPr>
      <w:r>
        <w:t xml:space="preserve">- </w:t>
      </w:r>
      <w:r w:rsidRPr="00304610">
        <w:t>проведение работ по замене оконных блоков в муниципальных образовательных организациях Ставропольского края</w:t>
      </w:r>
      <w:r>
        <w:t xml:space="preserve"> – 1353,87 тыс. рублей</w:t>
      </w:r>
      <w:r w:rsidR="000961E3" w:rsidRPr="000961E3">
        <w:t xml:space="preserve"> или 100,0 % к годовым плановым назначениям;</w:t>
      </w:r>
    </w:p>
    <w:p w:rsidR="00335C90" w:rsidRDefault="00335C90" w:rsidP="006735B5">
      <w:pPr>
        <w:spacing w:line="240" w:lineRule="auto"/>
      </w:pPr>
      <w:r w:rsidRPr="00335C90">
        <w:t xml:space="preserve">- </w:t>
      </w:r>
      <w:r w:rsidR="00700F50" w:rsidRPr="00700F50">
        <w:t>проведение капитального ремонта зданий и сооружений муниципальных образовательных организаций</w:t>
      </w:r>
      <w:r w:rsidR="00700F50">
        <w:t xml:space="preserve"> </w:t>
      </w:r>
      <w:r w:rsidRPr="00335C90">
        <w:t xml:space="preserve">– </w:t>
      </w:r>
      <w:r w:rsidR="00700F50">
        <w:t>17088,82</w:t>
      </w:r>
      <w:r w:rsidRPr="00335C90">
        <w:t xml:space="preserve"> тыс. рублей или </w:t>
      </w:r>
      <w:r w:rsidR="00700F50">
        <w:t xml:space="preserve">70,7 </w:t>
      </w:r>
      <w:r w:rsidRPr="00335C90">
        <w:t>% к годовым плановым назначениям;</w:t>
      </w:r>
    </w:p>
    <w:p w:rsidR="00700F50" w:rsidRDefault="00700F50" w:rsidP="006735B5">
      <w:pPr>
        <w:spacing w:line="240" w:lineRule="auto"/>
      </w:pPr>
      <w:r>
        <w:t xml:space="preserve">- </w:t>
      </w:r>
      <w:r w:rsidRPr="00700F50">
        <w:t>проведение работ по ремонту кровель в муниципальных общеобразовательных организациях</w:t>
      </w:r>
      <w:r>
        <w:t xml:space="preserve"> – 2784,92 тыс. рублей или </w:t>
      </w:r>
      <w:r w:rsidRPr="00700F50">
        <w:t>100,0 % к годовым плановым назначениям;</w:t>
      </w:r>
    </w:p>
    <w:p w:rsidR="008437A0" w:rsidRDefault="00335C90" w:rsidP="006735B5">
      <w:pPr>
        <w:spacing w:line="240" w:lineRule="auto"/>
      </w:pPr>
      <w:r w:rsidRPr="00335C90">
        <w:t xml:space="preserve">- </w:t>
      </w:r>
      <w:r w:rsidR="00CB5A5D" w:rsidRPr="00CB5A5D">
        <w:t>обеспечение жильем молодых семей</w:t>
      </w:r>
      <w:r w:rsidRPr="00335C90">
        <w:t xml:space="preserve"> – </w:t>
      </w:r>
      <w:r w:rsidR="00D753A9">
        <w:t>7959,45</w:t>
      </w:r>
      <w:r w:rsidRPr="00335C90">
        <w:t xml:space="preserve"> тыс. рублей или </w:t>
      </w:r>
      <w:r w:rsidR="008437A0">
        <w:t>100,</w:t>
      </w:r>
      <w:r w:rsidR="00E720F4">
        <w:t xml:space="preserve">0 </w:t>
      </w:r>
      <w:r w:rsidRPr="00335C90">
        <w:t>% к годовым плановым назначениям</w:t>
      </w:r>
      <w:r w:rsidR="008437A0">
        <w:t>;</w:t>
      </w:r>
    </w:p>
    <w:p w:rsidR="006048FE" w:rsidRDefault="006048FE" w:rsidP="006735B5">
      <w:pPr>
        <w:spacing w:line="240" w:lineRule="auto"/>
      </w:pPr>
      <w:r>
        <w:t xml:space="preserve">- </w:t>
      </w:r>
      <w:r w:rsidRPr="006048FE">
        <w:t>проведение информационно-пропагандистских мероприятий, направленных на профилактику идеологии терроризма</w:t>
      </w:r>
      <w:r>
        <w:t xml:space="preserve"> – </w:t>
      </w:r>
      <w:r w:rsidR="00D753A9">
        <w:t>89,43</w:t>
      </w:r>
      <w:r w:rsidR="00BE4FEF">
        <w:t xml:space="preserve"> тыс. рублей</w:t>
      </w:r>
      <w:r w:rsidR="00BE4FEF" w:rsidRPr="00BE4FEF">
        <w:t xml:space="preserve"> или </w:t>
      </w:r>
      <w:r w:rsidR="00D753A9">
        <w:t>89,4</w:t>
      </w:r>
      <w:r w:rsidR="00BE4FEF">
        <w:t xml:space="preserve"> </w:t>
      </w:r>
      <w:r w:rsidR="00BE4FEF" w:rsidRPr="00BE4FEF">
        <w:t>% к годовым плановым назначениям;</w:t>
      </w:r>
    </w:p>
    <w:p w:rsidR="00342AB7" w:rsidRDefault="00342AB7" w:rsidP="006735B5">
      <w:pPr>
        <w:spacing w:line="240" w:lineRule="auto"/>
      </w:pPr>
      <w:r w:rsidRPr="00342AB7">
        <w:t xml:space="preserve">- обеспечение деятельности центров образования цифрового и гуманитарного профилей – </w:t>
      </w:r>
      <w:r>
        <w:t>5621,21</w:t>
      </w:r>
      <w:r w:rsidRPr="00342AB7">
        <w:t xml:space="preserve">  тыс. рублей или </w:t>
      </w:r>
      <w:r>
        <w:t>99,7</w:t>
      </w:r>
      <w:r w:rsidRPr="00342AB7">
        <w:t xml:space="preserve"> % к годовым плановым назначениям;</w:t>
      </w:r>
    </w:p>
    <w:p w:rsidR="00342AB7" w:rsidRDefault="00342AB7" w:rsidP="006735B5">
      <w:pPr>
        <w:spacing w:line="240" w:lineRule="auto"/>
      </w:pPr>
      <w:r>
        <w:t xml:space="preserve">- </w:t>
      </w:r>
      <w:r w:rsidRPr="00342AB7">
        <w:t>проведение антитеррористических мероприятий в муниципальных образовательных организациях</w:t>
      </w:r>
      <w:r w:rsidR="00E465F9">
        <w:t xml:space="preserve"> </w:t>
      </w:r>
      <w:r w:rsidRPr="00342AB7">
        <w:t xml:space="preserve">– </w:t>
      </w:r>
      <w:r w:rsidR="00E465F9">
        <w:t>418,00</w:t>
      </w:r>
      <w:r w:rsidRPr="00342AB7">
        <w:t xml:space="preserve">  тыс. рублей или </w:t>
      </w:r>
      <w:r w:rsidR="00E465F9">
        <w:t>100,0</w:t>
      </w:r>
      <w:r w:rsidRPr="00342AB7">
        <w:t xml:space="preserve"> % к годовым плановым назначениям;</w:t>
      </w:r>
    </w:p>
    <w:p w:rsidR="00E465F9" w:rsidRDefault="00E465F9" w:rsidP="006735B5">
      <w:pPr>
        <w:spacing w:line="240" w:lineRule="auto"/>
      </w:pPr>
      <w:r>
        <w:t xml:space="preserve">- </w:t>
      </w:r>
      <w:r w:rsidRPr="00E465F9">
        <w:t>комплектование книжных фондов библиотек муниципальных образований</w:t>
      </w:r>
      <w:r>
        <w:t xml:space="preserve"> </w:t>
      </w:r>
      <w:r w:rsidRPr="00E465F9">
        <w:t xml:space="preserve">– </w:t>
      </w:r>
      <w:r>
        <w:t>88,51</w:t>
      </w:r>
      <w:r w:rsidRPr="00E465F9">
        <w:t xml:space="preserve">  тыс. рублей или 100,0 % к годовым плановым назначениям;</w:t>
      </w:r>
    </w:p>
    <w:p w:rsidR="00376BD3" w:rsidRDefault="00376BD3" w:rsidP="006735B5">
      <w:pPr>
        <w:spacing w:line="240" w:lineRule="auto"/>
      </w:pPr>
      <w:r>
        <w:t xml:space="preserve">- </w:t>
      </w:r>
      <w:r w:rsidRPr="00376BD3">
        <w:t>реализация мероприятий по благоустройству территорий</w:t>
      </w:r>
      <w:r w:rsidR="00846081">
        <w:t xml:space="preserve"> – </w:t>
      </w:r>
      <w:r w:rsidR="008D5536">
        <w:t xml:space="preserve">           </w:t>
      </w:r>
      <w:r w:rsidR="00AE0F4F">
        <w:t>8365,72</w:t>
      </w:r>
      <w:r w:rsidR="00846081" w:rsidRPr="00846081">
        <w:t xml:space="preserve">  тыс. рублей или </w:t>
      </w:r>
      <w:r w:rsidR="00846081">
        <w:t>100</w:t>
      </w:r>
      <w:r w:rsidR="00846081" w:rsidRPr="00846081">
        <w:t>,0 %</w:t>
      </w:r>
      <w:r w:rsidR="009F288A">
        <w:t xml:space="preserve"> к годовым плановым назначениям.</w:t>
      </w:r>
    </w:p>
    <w:p w:rsidR="00DD0AF0" w:rsidRDefault="00335C90" w:rsidP="006735B5">
      <w:pPr>
        <w:spacing w:line="240" w:lineRule="auto"/>
      </w:pPr>
      <w:r w:rsidRPr="00335C90">
        <w:t xml:space="preserve">Удельный вес </w:t>
      </w:r>
      <w:r w:rsidR="00643799">
        <w:t>дотации</w:t>
      </w:r>
      <w:r w:rsidRPr="00335C90">
        <w:t xml:space="preserve"> в общем объеме безвозмездных поступлений составил </w:t>
      </w:r>
      <w:r w:rsidR="009F288A">
        <w:t>29,5</w:t>
      </w:r>
      <w:r w:rsidR="00DD0AF0">
        <w:t xml:space="preserve"> </w:t>
      </w:r>
      <w:r w:rsidRPr="00335C90">
        <w:t xml:space="preserve">%. </w:t>
      </w:r>
      <w:r w:rsidR="00643799">
        <w:t>Дотации</w:t>
      </w:r>
      <w:r w:rsidRPr="00335C90">
        <w:t xml:space="preserve"> поступили в сумме </w:t>
      </w:r>
      <w:r w:rsidR="009F288A">
        <w:t>444914,00</w:t>
      </w:r>
      <w:r w:rsidRPr="00335C90">
        <w:t xml:space="preserve"> тыс. рублей или </w:t>
      </w:r>
      <w:r w:rsidR="00FD1777">
        <w:t>100</w:t>
      </w:r>
      <w:r w:rsidRPr="00335C90">
        <w:t>% к годовым плановым назначениям.</w:t>
      </w:r>
      <w:r w:rsidR="000D463E" w:rsidRPr="000D463E">
        <w:t xml:space="preserve"> </w:t>
      </w:r>
    </w:p>
    <w:p w:rsidR="00335C90" w:rsidRDefault="00335C90" w:rsidP="006735B5">
      <w:pPr>
        <w:spacing w:line="240" w:lineRule="auto"/>
      </w:pPr>
      <w:r w:rsidRPr="00335C90">
        <w:t xml:space="preserve">Средства иных межбюджетных трансфертов поступили в объеме </w:t>
      </w:r>
      <w:r w:rsidR="004B69AE">
        <w:t xml:space="preserve">  </w:t>
      </w:r>
      <w:r w:rsidR="008C6DC1">
        <w:t>11083,27</w:t>
      </w:r>
      <w:r w:rsidR="004B69AE">
        <w:t xml:space="preserve">  </w:t>
      </w:r>
      <w:r w:rsidRPr="00335C90">
        <w:t>тыс. рублей (201</w:t>
      </w:r>
      <w:r w:rsidR="008C6DC1">
        <w:t>9</w:t>
      </w:r>
      <w:r w:rsidRPr="00335C90">
        <w:t xml:space="preserve"> год</w:t>
      </w:r>
      <w:r w:rsidR="008D5536">
        <w:t xml:space="preserve"> </w:t>
      </w:r>
      <w:r w:rsidRPr="00335C90">
        <w:t xml:space="preserve">– </w:t>
      </w:r>
      <w:r w:rsidR="008C6DC1" w:rsidRPr="008C6DC1">
        <w:t xml:space="preserve">9142,87 </w:t>
      </w:r>
      <w:r w:rsidRPr="00335C90">
        <w:t xml:space="preserve">тыс. рублей), что </w:t>
      </w:r>
      <w:r w:rsidR="00E8637E">
        <w:t>ниже</w:t>
      </w:r>
      <w:r w:rsidRPr="00335C90">
        <w:t xml:space="preserve"> утвержденных годовых плановых назначений на </w:t>
      </w:r>
      <w:r w:rsidR="008C6DC1">
        <w:t>536,45</w:t>
      </w:r>
      <w:r w:rsidRPr="00335C90">
        <w:t xml:space="preserve"> тыс. рублей, из них </w:t>
      </w:r>
      <w:proofErr w:type="gramStart"/>
      <w:r w:rsidRPr="00335C90">
        <w:t>на</w:t>
      </w:r>
      <w:proofErr w:type="gramEnd"/>
      <w:r w:rsidRPr="00335C90">
        <w:t>:</w:t>
      </w:r>
    </w:p>
    <w:p w:rsidR="0049348C" w:rsidRPr="00335C90" w:rsidRDefault="0049348C" w:rsidP="006735B5">
      <w:pPr>
        <w:spacing w:line="240" w:lineRule="auto"/>
      </w:pPr>
      <w:r>
        <w:t xml:space="preserve">- </w:t>
      </w:r>
      <w:r w:rsidRPr="0049348C"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t xml:space="preserve"> (8359,73 тыс. рублей);</w:t>
      </w:r>
    </w:p>
    <w:p w:rsidR="00335C90" w:rsidRPr="00335C90" w:rsidRDefault="00335C90" w:rsidP="006735B5">
      <w:pPr>
        <w:spacing w:line="240" w:lineRule="auto"/>
      </w:pPr>
      <w:r w:rsidRPr="00335C90">
        <w:t xml:space="preserve">- </w:t>
      </w:r>
      <w:r w:rsidR="006F265E" w:rsidRPr="006F265E">
        <w:t>выплат</w:t>
      </w:r>
      <w:r w:rsidR="006F265E">
        <w:t>у</w:t>
      </w:r>
      <w:r w:rsidR="006F265E" w:rsidRPr="006F265E">
        <w:t xml:space="preserve"> социального пособия на погребение</w:t>
      </w:r>
      <w:r w:rsidRPr="00335C90">
        <w:t xml:space="preserve"> </w:t>
      </w:r>
      <w:r w:rsidR="007F7A12">
        <w:t>(</w:t>
      </w:r>
      <w:r w:rsidR="000F5BB3">
        <w:t>434,87</w:t>
      </w:r>
      <w:r w:rsidRPr="00335C90">
        <w:t xml:space="preserve"> тыс. рублей</w:t>
      </w:r>
      <w:r w:rsidR="007F7A12">
        <w:t>)</w:t>
      </w:r>
      <w:r w:rsidRPr="00335C90">
        <w:t>;</w:t>
      </w:r>
    </w:p>
    <w:p w:rsidR="00335C90" w:rsidRDefault="00335C90" w:rsidP="006735B5">
      <w:pPr>
        <w:spacing w:line="240" w:lineRule="auto"/>
      </w:pPr>
      <w:r w:rsidRPr="00335C90">
        <w:t xml:space="preserve">- </w:t>
      </w:r>
      <w:r w:rsidR="006F265E" w:rsidRPr="006F265E">
        <w:t>обеспечение деятельности депутатов Думы Ставропольского края и их помощников в избирательном округе</w:t>
      </w:r>
      <w:r w:rsidR="00950F88">
        <w:t xml:space="preserve"> </w:t>
      </w:r>
      <w:r w:rsidR="007F7A12">
        <w:t>(</w:t>
      </w:r>
      <w:r w:rsidR="000F5BB3">
        <w:t>1079,17</w:t>
      </w:r>
      <w:r w:rsidR="00950F88">
        <w:t xml:space="preserve"> тыс. рублей</w:t>
      </w:r>
      <w:r w:rsidR="007F7A12">
        <w:t>)</w:t>
      </w:r>
      <w:r w:rsidR="00950F88">
        <w:t>;</w:t>
      </w:r>
    </w:p>
    <w:p w:rsidR="0078484F" w:rsidRDefault="0078484F" w:rsidP="006735B5">
      <w:pPr>
        <w:spacing w:line="240" w:lineRule="auto"/>
      </w:pPr>
      <w:r w:rsidRPr="0078484F">
        <w:lastRenderedPageBreak/>
        <w:t>- приобретение новогодних подарков для учащихся начальных классов</w:t>
      </w:r>
      <w:r w:rsidR="00B6740C">
        <w:t xml:space="preserve"> </w:t>
      </w:r>
      <w:r w:rsidR="007F7A12">
        <w:t>(</w:t>
      </w:r>
      <w:r w:rsidR="00B6740C" w:rsidRPr="00B6740C">
        <w:t>12</w:t>
      </w:r>
      <w:r w:rsidR="000F5BB3">
        <w:t>09</w:t>
      </w:r>
      <w:r w:rsidR="00B6740C" w:rsidRPr="00B6740C">
        <w:t>,</w:t>
      </w:r>
      <w:r w:rsidR="00B6740C">
        <w:t>5</w:t>
      </w:r>
      <w:r w:rsidR="00B6740C" w:rsidRPr="00B6740C">
        <w:t>0 тыс. рублей</w:t>
      </w:r>
      <w:r w:rsidR="007F7A12">
        <w:t>)</w:t>
      </w:r>
      <w:r w:rsidR="006D3969">
        <w:t>.</w:t>
      </w:r>
    </w:p>
    <w:p w:rsidR="0044074C" w:rsidRDefault="00335C90" w:rsidP="006735B5">
      <w:pPr>
        <w:spacing w:line="240" w:lineRule="auto"/>
      </w:pPr>
      <w:r w:rsidRPr="00335C90">
        <w:t xml:space="preserve">Кроме того, в доход </w:t>
      </w:r>
      <w:r w:rsidR="00D06FD6">
        <w:t>местного</w:t>
      </w:r>
      <w:r w:rsidRPr="00335C90">
        <w:t xml:space="preserve"> бюджета поступили </w:t>
      </w:r>
      <w:r w:rsidR="005A50DF">
        <w:t xml:space="preserve">средства </w:t>
      </w:r>
      <w:r w:rsidR="005B19AE">
        <w:t xml:space="preserve">в виде </w:t>
      </w:r>
      <w:r w:rsidR="0044074C" w:rsidRPr="0044074C">
        <w:t>поступлени</w:t>
      </w:r>
      <w:r w:rsidR="005B19AE">
        <w:t>й</w:t>
      </w:r>
      <w:r w:rsidR="0044074C" w:rsidRPr="0044074C">
        <w:t xml:space="preserve"> от частных и юридических лиц в качестве благотворительных и целевых взносов учреждениям образования и денежны</w:t>
      </w:r>
      <w:r w:rsidR="005B19AE">
        <w:t>х</w:t>
      </w:r>
      <w:r w:rsidR="0044074C" w:rsidRPr="0044074C">
        <w:t xml:space="preserve"> пожертвовани</w:t>
      </w:r>
      <w:r w:rsidR="005B19AE">
        <w:t>й</w:t>
      </w:r>
      <w:r w:rsidR="0044074C" w:rsidRPr="0044074C">
        <w:t xml:space="preserve"> на реализацию проектов развития территорий муниципальных образований, основанных на местных инициативах</w:t>
      </w:r>
      <w:r w:rsidR="0044074C">
        <w:t xml:space="preserve"> </w:t>
      </w:r>
      <w:r w:rsidR="00044CA8">
        <w:t>–</w:t>
      </w:r>
      <w:r w:rsidR="005B19AE">
        <w:t xml:space="preserve"> </w:t>
      </w:r>
      <w:r w:rsidR="00044CA8">
        <w:t>12200,70</w:t>
      </w:r>
      <w:r w:rsidR="00C76B45">
        <w:t xml:space="preserve"> тыс. рублей.</w:t>
      </w:r>
    </w:p>
    <w:p w:rsidR="00346B95" w:rsidRDefault="00346B95" w:rsidP="006735B5">
      <w:pPr>
        <w:spacing w:line="240" w:lineRule="auto"/>
      </w:pPr>
      <w:r w:rsidRPr="00346B95">
        <w:t>В 20</w:t>
      </w:r>
      <w:r w:rsidR="00044CA8">
        <w:t>20</w:t>
      </w:r>
      <w:r w:rsidRPr="00346B95">
        <w:t xml:space="preserve"> году осуществлен возврат остатков субсидий субвенций и иных межбюджетных трансфертов, имеющих целевое назначение, прошлых </w:t>
      </w:r>
      <w:r w:rsidRPr="00AA7820">
        <w:t>лет  –</w:t>
      </w:r>
      <w:r w:rsidR="00AA7820">
        <w:t xml:space="preserve">           </w:t>
      </w:r>
      <w:r w:rsidRPr="00AA7820">
        <w:t xml:space="preserve"> «-»</w:t>
      </w:r>
      <w:r w:rsidRPr="00346B95">
        <w:t xml:space="preserve"> </w:t>
      </w:r>
      <w:r w:rsidR="00044CA8">
        <w:t>20912,48</w:t>
      </w:r>
      <w:r w:rsidRPr="00346B95">
        <w:t xml:space="preserve"> тыс. рублей.</w:t>
      </w:r>
    </w:p>
    <w:p w:rsidR="006735B5" w:rsidRPr="00335C90" w:rsidRDefault="006735B5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исполнения расходной части бюджета </w:t>
      </w:r>
      <w:proofErr w:type="spellStart"/>
      <w:r w:rsidR="00C76B45">
        <w:rPr>
          <w:b/>
          <w:bCs/>
        </w:rPr>
        <w:t>Ипатовского</w:t>
      </w:r>
      <w:proofErr w:type="spellEnd"/>
      <w:r w:rsidR="00C76B45">
        <w:rPr>
          <w:b/>
          <w:bCs/>
        </w:rPr>
        <w:t xml:space="preserve"> городского округа </w:t>
      </w:r>
      <w:r w:rsidRPr="00335C90">
        <w:rPr>
          <w:b/>
          <w:bCs/>
        </w:rPr>
        <w:t>Ставропольского края</w:t>
      </w:r>
    </w:p>
    <w:p w:rsidR="00335C90" w:rsidRDefault="001F325A" w:rsidP="006735B5">
      <w:pPr>
        <w:spacing w:line="240" w:lineRule="auto"/>
      </w:pPr>
      <w:r w:rsidRPr="00F305A1">
        <w:t xml:space="preserve">Решением </w:t>
      </w:r>
      <w:r w:rsidR="00F305A1" w:rsidRPr="00F305A1">
        <w:t xml:space="preserve">о местном бюджете </w:t>
      </w:r>
      <w:r w:rsidRPr="00F305A1">
        <w:t>на 20</w:t>
      </w:r>
      <w:r w:rsidR="00BE3AF9">
        <w:t>20</w:t>
      </w:r>
      <w:r w:rsidRPr="00F305A1">
        <w:t xml:space="preserve"> год </w:t>
      </w:r>
      <w:r w:rsidR="00335C90" w:rsidRPr="00335C90">
        <w:t>объем расходов бюджета</w:t>
      </w:r>
      <w:r>
        <w:t xml:space="preserve"> </w:t>
      </w:r>
      <w:proofErr w:type="spellStart"/>
      <w:r>
        <w:t>Ипатовского</w:t>
      </w:r>
      <w:proofErr w:type="spellEnd"/>
      <w:r>
        <w:t xml:space="preserve"> городского округа</w:t>
      </w:r>
      <w:r w:rsidR="00335C90" w:rsidRPr="00335C90">
        <w:t xml:space="preserve"> Ставропольского края первоначально был утвержден в сумме </w:t>
      </w:r>
      <w:r w:rsidR="00E730AC">
        <w:t>1659274,11</w:t>
      </w:r>
      <w:r w:rsidR="00AD5CE3">
        <w:t xml:space="preserve"> </w:t>
      </w:r>
      <w:r w:rsidR="00335C90" w:rsidRPr="00335C90">
        <w:t xml:space="preserve">тыс. рублей. В ходе исполнения </w:t>
      </w:r>
      <w:r w:rsidR="00AD5CE3">
        <w:t>местного</w:t>
      </w:r>
      <w:r w:rsidR="00335C90" w:rsidRPr="00335C90">
        <w:t xml:space="preserve"> бюджета плановые ассигнования увеличены на </w:t>
      </w:r>
      <w:r w:rsidR="00E730AC">
        <w:t>293462,80</w:t>
      </w:r>
      <w:r w:rsidR="00335C90" w:rsidRPr="00335C90">
        <w:t xml:space="preserve"> тыс. рублей или на </w:t>
      </w:r>
      <w:r w:rsidR="00E730AC">
        <w:t>17,7</w:t>
      </w:r>
      <w:r w:rsidR="00135A0D">
        <w:t xml:space="preserve"> </w:t>
      </w:r>
      <w:r w:rsidR="00335C90" w:rsidRPr="00335C90">
        <w:t xml:space="preserve">% и в последней редакции </w:t>
      </w:r>
      <w:r w:rsidR="0032137B">
        <w:t xml:space="preserve">решения </w:t>
      </w:r>
      <w:r w:rsidR="00335C90" w:rsidRPr="00335C90">
        <w:t xml:space="preserve">о </w:t>
      </w:r>
      <w:r w:rsidR="0032137B">
        <w:t>местном</w:t>
      </w:r>
      <w:r w:rsidR="00335C90" w:rsidRPr="00335C90">
        <w:t xml:space="preserve"> бюджете </w:t>
      </w:r>
      <w:r w:rsidR="0008313A" w:rsidRPr="0008313A">
        <w:t xml:space="preserve">№ </w:t>
      </w:r>
      <w:r w:rsidR="00E730AC">
        <w:t>151</w:t>
      </w:r>
      <w:r w:rsidR="0008313A" w:rsidRPr="0008313A">
        <w:t xml:space="preserve"> </w:t>
      </w:r>
      <w:r w:rsidR="00335C90" w:rsidRPr="00335C90">
        <w:t xml:space="preserve">(от </w:t>
      </w:r>
      <w:r w:rsidR="00E730AC">
        <w:t>15</w:t>
      </w:r>
      <w:r w:rsidR="00335C90" w:rsidRPr="00335C90">
        <w:t>.12.20</w:t>
      </w:r>
      <w:r w:rsidR="00E730AC">
        <w:t>20</w:t>
      </w:r>
      <w:r w:rsidR="00896CDF">
        <w:t xml:space="preserve"> </w:t>
      </w:r>
      <w:r w:rsidR="00896CDF" w:rsidRPr="00F305A1">
        <w:t>г.</w:t>
      </w:r>
      <w:r w:rsidR="00335C90" w:rsidRPr="00F305A1">
        <w:t>)</w:t>
      </w:r>
      <w:r w:rsidR="00335C90" w:rsidRPr="00335C90">
        <w:t xml:space="preserve"> составили </w:t>
      </w:r>
      <w:r w:rsidR="001C655E">
        <w:t>2092281,24</w:t>
      </w:r>
      <w:r w:rsidR="00335C90" w:rsidRPr="00335C90">
        <w:t xml:space="preserve"> тыс. рублей.</w:t>
      </w:r>
    </w:p>
    <w:p w:rsidR="005113D3" w:rsidRDefault="005113D3" w:rsidP="005113D3">
      <w:pPr>
        <w:spacing w:line="240" w:lineRule="auto"/>
      </w:pPr>
      <w:r>
        <w:t xml:space="preserve">На основании статьи 232 БК РФ показатели сводной бюджетной росписи без внесения изменений в </w:t>
      </w:r>
      <w:r w:rsidR="00833016">
        <w:t>решение о местном</w:t>
      </w:r>
      <w:r>
        <w:t xml:space="preserve"> бюджете </w:t>
      </w:r>
      <w:r w:rsidR="00833016">
        <w:t xml:space="preserve">уменьшены </w:t>
      </w:r>
      <w:r>
        <w:t xml:space="preserve"> на сумму </w:t>
      </w:r>
      <w:r w:rsidR="00833016">
        <w:t>2728,27</w:t>
      </w:r>
      <w:r>
        <w:t xml:space="preserve"> тыс. рублей</w:t>
      </w:r>
      <w:r w:rsidR="000A1D9D" w:rsidRPr="000A1D9D">
        <w:t xml:space="preserve"> за счет средств субсидий, субвенций, иных межбюджетных трансфертов из краевого бюджета, имеющих целевое назначение</w:t>
      </w:r>
      <w:r>
        <w:t>, в том числе:</w:t>
      </w:r>
    </w:p>
    <w:p w:rsidR="005113D3" w:rsidRDefault="005113D3" w:rsidP="005113D3">
      <w:pPr>
        <w:spacing w:line="240" w:lineRule="auto"/>
      </w:pPr>
      <w:r>
        <w:t xml:space="preserve">1) </w:t>
      </w:r>
      <w:r w:rsidR="005B6C99">
        <w:t xml:space="preserve">за счет </w:t>
      </w:r>
      <w:r w:rsidR="00D108DE">
        <w:t>увеличени</w:t>
      </w:r>
      <w:r w:rsidR="005B6C99">
        <w:t>я</w:t>
      </w:r>
      <w:r w:rsidR="00D108DE">
        <w:t xml:space="preserve"> </w:t>
      </w:r>
      <w:r w:rsidR="00463E24">
        <w:t xml:space="preserve">средств </w:t>
      </w:r>
      <w:r>
        <w:t xml:space="preserve">на сумму </w:t>
      </w:r>
      <w:r w:rsidR="00910EE2">
        <w:t>8570,03</w:t>
      </w:r>
      <w:r>
        <w:t xml:space="preserve"> тыс. рублей, в том числе</w:t>
      </w:r>
      <w:r w:rsidR="003136DE">
        <w:t xml:space="preserve"> по следующим направлениям</w:t>
      </w:r>
      <w:r>
        <w:t>:</w:t>
      </w:r>
    </w:p>
    <w:p w:rsidR="0064179E" w:rsidRDefault="0064179E" w:rsidP="005113D3">
      <w:pPr>
        <w:spacing w:line="240" w:lineRule="auto"/>
      </w:pPr>
      <w:r w:rsidRPr="0064179E">
        <w:t xml:space="preserve">- </w:t>
      </w:r>
      <w:r w:rsidR="00A7251B">
        <w:t>оплата</w:t>
      </w:r>
      <w:r w:rsidRPr="0064179E">
        <w:t xml:space="preserve"> жилищно-коммунальных услуг отдельным категориям граждан – 3820,00 тыс. рублей;</w:t>
      </w:r>
    </w:p>
    <w:p w:rsidR="00A47FBC" w:rsidRDefault="00A47FBC" w:rsidP="005113D3">
      <w:pPr>
        <w:spacing w:line="240" w:lineRule="auto"/>
      </w:pPr>
      <w:r>
        <w:t xml:space="preserve">- </w:t>
      </w:r>
      <w:r w:rsidR="0064179E">
        <w:t>в</w:t>
      </w:r>
      <w:r w:rsidRPr="00A47FBC">
        <w:t>ыплат</w:t>
      </w:r>
      <w:r w:rsidR="00A7251B">
        <w:t>а</w:t>
      </w:r>
      <w:r w:rsidRPr="00A47FBC">
        <w:t xml:space="preserve"> инвалидам компенсаций страховых премий по договорам обязательного страхования гражданской ответственности владельцев транспортных сре</w:t>
      </w:r>
      <w:proofErr w:type="gramStart"/>
      <w:r w:rsidRPr="00A47FBC">
        <w:t>дств в с</w:t>
      </w:r>
      <w:proofErr w:type="gramEnd"/>
      <w:r w:rsidRPr="00A47FBC">
        <w:t>оответст</w:t>
      </w:r>
      <w:r w:rsidR="00453288">
        <w:t>вии с Федеральным законом от 25.04.</w:t>
      </w:r>
      <w:r w:rsidRPr="00A47FBC">
        <w:t>2002 г</w:t>
      </w:r>
      <w:r w:rsidR="009B2CB2">
        <w:t>.</w:t>
      </w:r>
      <w:r w:rsidRPr="00A47FBC">
        <w:t xml:space="preserve"> № 40-ФЗ </w:t>
      </w:r>
      <w:r>
        <w:t>«</w:t>
      </w:r>
      <w:r w:rsidRPr="00A47FBC">
        <w:t>Об обязательном страховании гражданской ответственности владельцев транспортных средств</w:t>
      </w:r>
      <w:r>
        <w:t>» – 0,7</w:t>
      </w:r>
      <w:r w:rsidR="00910EE2">
        <w:t>3</w:t>
      </w:r>
      <w:r>
        <w:t xml:space="preserve"> тыс. рублей;</w:t>
      </w:r>
    </w:p>
    <w:p w:rsidR="0064179E" w:rsidRDefault="0064179E" w:rsidP="005113D3">
      <w:pPr>
        <w:spacing w:line="240" w:lineRule="auto"/>
      </w:pPr>
      <w:r w:rsidRPr="0064179E">
        <w:t>- единая субвенция бюджетам городских округов (осуществление отдельных государственных полномочий по социальной защите отдельных категорий граждан) – 315,5</w:t>
      </w:r>
      <w:r w:rsidR="00910EE2">
        <w:t>3</w:t>
      </w:r>
      <w:r w:rsidRPr="0064179E">
        <w:t xml:space="preserve"> тыс. рублей;</w:t>
      </w:r>
    </w:p>
    <w:p w:rsidR="0013552D" w:rsidRDefault="0013552D" w:rsidP="005113D3">
      <w:pPr>
        <w:spacing w:line="240" w:lineRule="auto"/>
      </w:pPr>
      <w:r>
        <w:t>- в</w:t>
      </w:r>
      <w:r w:rsidRPr="0013552D">
        <w:t>ыплат</w:t>
      </w:r>
      <w:r w:rsidR="00A7251B">
        <w:t>а</w:t>
      </w:r>
      <w:r w:rsidRPr="0013552D">
        <w:t xml:space="preserve"> пособия на ребенка</w:t>
      </w:r>
      <w:r>
        <w:t xml:space="preserve"> – 20,0</w:t>
      </w:r>
      <w:r w:rsidR="00910EE2">
        <w:t>0</w:t>
      </w:r>
      <w:r>
        <w:t xml:space="preserve"> тыс. рублей;</w:t>
      </w:r>
    </w:p>
    <w:p w:rsidR="0013552D" w:rsidRDefault="0013552D" w:rsidP="005113D3">
      <w:pPr>
        <w:spacing w:line="240" w:lineRule="auto"/>
      </w:pPr>
      <w:r w:rsidRPr="0013552D">
        <w:t>- ежемесячн</w:t>
      </w:r>
      <w:r w:rsidR="00DA60CF">
        <w:t>ая</w:t>
      </w:r>
      <w:r w:rsidRPr="0013552D">
        <w:t xml:space="preserve"> денежн</w:t>
      </w:r>
      <w:r w:rsidR="00DA60CF">
        <w:t>ая</w:t>
      </w:r>
      <w:r w:rsidRPr="0013552D">
        <w:t xml:space="preserve"> выплат</w:t>
      </w:r>
      <w:r w:rsidR="00DA60CF">
        <w:t>а</w:t>
      </w:r>
      <w:r w:rsidRPr="0013552D">
        <w:t>, назначаем</w:t>
      </w:r>
      <w:r w:rsidR="00DA60CF">
        <w:t>ая</w:t>
      </w:r>
      <w:r w:rsidRPr="0013552D">
        <w:t xml:space="preserve"> в случае рождения третьего ребенка или последующих детей до достижения ребенком возраста трех лет – 712,80 тыс. рублей</w:t>
      </w:r>
      <w:r>
        <w:t>;</w:t>
      </w:r>
    </w:p>
    <w:p w:rsidR="006C6831" w:rsidRDefault="00D42C2E" w:rsidP="005113D3">
      <w:pPr>
        <w:spacing w:line="240" w:lineRule="auto"/>
      </w:pPr>
      <w:r w:rsidRPr="0064179E">
        <w:t xml:space="preserve">- </w:t>
      </w:r>
      <w:r w:rsidR="00A7251B">
        <w:t>е</w:t>
      </w:r>
      <w:r w:rsidR="00A7251B" w:rsidRPr="00A7251B">
        <w:t>жемесячн</w:t>
      </w:r>
      <w:r w:rsidR="00A7251B">
        <w:t>ая</w:t>
      </w:r>
      <w:r w:rsidR="00A7251B" w:rsidRPr="00A7251B">
        <w:t xml:space="preserve"> выплата в связи с рождением (усыновлением) первого ребенка</w:t>
      </w:r>
      <w:r w:rsidR="00152815" w:rsidRPr="0064179E">
        <w:t>–</w:t>
      </w:r>
      <w:r w:rsidRPr="0064179E">
        <w:t xml:space="preserve"> </w:t>
      </w:r>
      <w:r w:rsidR="003B2F88" w:rsidRPr="0064179E">
        <w:t>3700,97 тыс. рублей</w:t>
      </w:r>
      <w:r w:rsidR="006C6831" w:rsidRPr="0064179E">
        <w:t>.</w:t>
      </w:r>
    </w:p>
    <w:p w:rsidR="00D108DE" w:rsidRDefault="00D108DE" w:rsidP="005113D3">
      <w:pPr>
        <w:spacing w:line="240" w:lineRule="auto"/>
      </w:pPr>
      <w:r>
        <w:t xml:space="preserve">2) </w:t>
      </w:r>
      <w:r w:rsidR="005B6C99">
        <w:t xml:space="preserve">за счет </w:t>
      </w:r>
      <w:r>
        <w:t xml:space="preserve">уменьшения </w:t>
      </w:r>
      <w:r w:rsidR="00463E24">
        <w:t xml:space="preserve">средств </w:t>
      </w:r>
      <w:r>
        <w:t>на</w:t>
      </w:r>
      <w:r w:rsidR="00910EE2">
        <w:t xml:space="preserve"> сумму</w:t>
      </w:r>
      <w:r>
        <w:t xml:space="preserve"> </w:t>
      </w:r>
      <w:r w:rsidR="006B68A6">
        <w:t>11298,31</w:t>
      </w:r>
      <w:r w:rsidR="00BD7ABD">
        <w:t xml:space="preserve"> тыс. рублей</w:t>
      </w:r>
      <w:r w:rsidR="00910EE2" w:rsidRPr="00910EE2">
        <w:t xml:space="preserve"> по следующим направлениям:</w:t>
      </w:r>
    </w:p>
    <w:p w:rsidR="00FF0294" w:rsidRDefault="00FF0294" w:rsidP="005113D3">
      <w:pPr>
        <w:spacing w:line="240" w:lineRule="auto"/>
      </w:pPr>
      <w:r>
        <w:lastRenderedPageBreak/>
        <w:t xml:space="preserve">- </w:t>
      </w:r>
      <w:r w:rsidR="00683241">
        <w:t>о</w:t>
      </w:r>
      <w:r w:rsidR="00683241" w:rsidRPr="00683241">
        <w:t>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</w:r>
      <w:r w:rsidR="003B2F88" w:rsidRPr="003B2F88">
        <w:t xml:space="preserve">– </w:t>
      </w:r>
      <w:r w:rsidR="00607D8E">
        <w:t>4306,8</w:t>
      </w:r>
      <w:r w:rsidR="006B68A6">
        <w:t>8</w:t>
      </w:r>
      <w:r w:rsidR="003B2F88" w:rsidRPr="003B2F88">
        <w:t xml:space="preserve"> тыс. рублей;</w:t>
      </w:r>
    </w:p>
    <w:p w:rsidR="00607D8E" w:rsidRDefault="00607D8E" w:rsidP="005113D3">
      <w:pPr>
        <w:spacing w:line="240" w:lineRule="auto"/>
      </w:pPr>
      <w:r>
        <w:t xml:space="preserve">- </w:t>
      </w:r>
      <w:r w:rsidR="00A47FBC" w:rsidRPr="00A47FBC">
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</w:t>
      </w:r>
      <w:r w:rsidR="009B2CB2">
        <w:t>ии с Федеральным законом от 19.05.</w:t>
      </w:r>
      <w:r w:rsidR="00A47FBC" w:rsidRPr="00A47FBC">
        <w:t>1995 г</w:t>
      </w:r>
      <w:r w:rsidR="009B2CB2">
        <w:t>.</w:t>
      </w:r>
      <w:r w:rsidR="00A47FBC" w:rsidRPr="00A47FBC">
        <w:t xml:space="preserve"> № 81-ФЗ «О государственных пособиях гражданам, имеющим детей» - 694</w:t>
      </w:r>
      <w:r w:rsidR="006B68A6">
        <w:t>4,00</w:t>
      </w:r>
      <w:r w:rsidR="00A47FBC" w:rsidRPr="00A47FBC">
        <w:t xml:space="preserve"> тыс. рублей;</w:t>
      </w:r>
    </w:p>
    <w:p w:rsidR="006B68A6" w:rsidRDefault="006B68A6" w:rsidP="005113D3">
      <w:pPr>
        <w:spacing w:line="240" w:lineRule="auto"/>
      </w:pPr>
      <w:r>
        <w:t>- реализаци</w:t>
      </w:r>
      <w:r w:rsidR="00683241">
        <w:t>я</w:t>
      </w:r>
      <w:r w:rsidRPr="006B68A6">
        <w:t xml:space="preserve"> проектов развития территорий муниципальных образований, основанных на местных инициативах</w:t>
      </w:r>
      <w:r>
        <w:t xml:space="preserve"> – 47,43 тыс. рублей.</w:t>
      </w:r>
    </w:p>
    <w:p w:rsidR="005113D3" w:rsidRDefault="00463E24" w:rsidP="006735B5">
      <w:pPr>
        <w:spacing w:line="240" w:lineRule="auto"/>
      </w:pPr>
      <w:r w:rsidRPr="00463E24">
        <w:t xml:space="preserve">С учетом внесенных изменений годовые назначения в соответствии со сводной бюджетной росписью утверждены в сумме </w:t>
      </w:r>
      <w:r w:rsidR="00935EA4">
        <w:t>2089552,97</w:t>
      </w:r>
      <w:r w:rsidRPr="00463E24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Исполнение расходов бюджета </w:t>
      </w:r>
      <w:proofErr w:type="spellStart"/>
      <w:r w:rsidR="000F22A0" w:rsidRPr="000F22A0">
        <w:t>Ипатовского</w:t>
      </w:r>
      <w:proofErr w:type="spellEnd"/>
      <w:r w:rsidR="000F22A0" w:rsidRPr="000F22A0">
        <w:t xml:space="preserve"> городского округа </w:t>
      </w:r>
      <w:r w:rsidRPr="00335C90">
        <w:t>Ставропольского края в разрезе разделов бюджетной классификации расходов бюджетов приведено в следующей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843"/>
        <w:gridCol w:w="992"/>
        <w:gridCol w:w="1418"/>
        <w:gridCol w:w="850"/>
        <w:gridCol w:w="1701"/>
      </w:tblGrid>
      <w:tr w:rsidR="00263422" w:rsidRPr="00FE04B8" w:rsidTr="00DD282B">
        <w:trPr>
          <w:trHeight w:val="948"/>
          <w:tblHeader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Наименование раздела, подраздела бюджетной классификации расходов бюджетов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Уточненные бюджетные ассигнования в соответствии со сводной бюджетной росписью,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Удельный вес,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Неисполненные назначения, тыс. рублей</w:t>
            </w:r>
          </w:p>
        </w:tc>
      </w:tr>
      <w:tr w:rsidR="00FE04B8" w:rsidRPr="00FE04B8" w:rsidTr="00DD282B">
        <w:trPr>
          <w:trHeight w:val="706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04B8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294 035,67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264 925,78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29 109,89</w:t>
            </w:r>
          </w:p>
        </w:tc>
      </w:tr>
      <w:tr w:rsidR="00263422" w:rsidRPr="00FE04B8" w:rsidTr="00DD282B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1 604,50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1 545,09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59,41</w:t>
            </w:r>
          </w:p>
        </w:tc>
      </w:tr>
      <w:tr w:rsidR="00263422" w:rsidRPr="00FE04B8" w:rsidTr="00DD282B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 xml:space="preserve">Функционирование законодательных  (представительных) органов государственной власти и  представительных органов  муниципальных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10 726,35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10 658,38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67,97</w:t>
            </w:r>
          </w:p>
        </w:tc>
      </w:tr>
      <w:tr w:rsidR="00263422" w:rsidRPr="00FE04B8" w:rsidTr="00DD282B">
        <w:trPr>
          <w:trHeight w:val="1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68 135,90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67 260,39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875,51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 xml:space="preserve">Судебная система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20,29</w:t>
            </w:r>
          </w:p>
        </w:tc>
      </w:tr>
      <w:tr w:rsidR="00263422" w:rsidRPr="00FE04B8" w:rsidTr="00DD282B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lastRenderedPageBreak/>
              <w:t xml:space="preserve">Обеспечение деятельности финансовых, налоговых и таможенных органов и  органов финансового  (финансово-бюджетного) надзора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14 047,81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14 047,40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263422" w:rsidRPr="00FE04B8" w:rsidTr="00DD282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 xml:space="preserve">Другие общегосударственные вопросы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196 490,85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171 404,55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25 086,30</w:t>
            </w:r>
          </w:p>
        </w:tc>
      </w:tr>
      <w:tr w:rsidR="00263422" w:rsidRPr="00FE04B8" w:rsidTr="00DD282B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5 669,76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5 531,99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137,77</w:t>
            </w:r>
          </w:p>
        </w:tc>
      </w:tr>
      <w:tr w:rsidR="00263422" w:rsidRPr="00FE04B8" w:rsidTr="00DD282B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5 669,76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5 531,99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137,77</w:t>
            </w:r>
          </w:p>
        </w:tc>
      </w:tr>
      <w:tr w:rsidR="00263422" w:rsidRPr="00FE04B8" w:rsidTr="00DD282B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250 563,26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189 352,55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61 210,71</w:t>
            </w:r>
          </w:p>
        </w:tc>
      </w:tr>
      <w:tr w:rsidR="00263422" w:rsidRPr="00FE04B8" w:rsidTr="00DD282B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921,77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921,77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422" w:rsidRPr="00FE04B8" w:rsidTr="00DD282B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249 352,75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188 151,94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61 200,81</w:t>
            </w:r>
          </w:p>
        </w:tc>
      </w:tr>
      <w:tr w:rsidR="00263422" w:rsidRPr="00FE04B8" w:rsidTr="00DD282B">
        <w:trPr>
          <w:trHeight w:val="5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288,74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278,84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9,90</w:t>
            </w:r>
          </w:p>
        </w:tc>
      </w:tr>
      <w:tr w:rsidR="00263422" w:rsidRPr="00FE04B8" w:rsidTr="00DD282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55 887,35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46 271,79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9 615,56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1 030,00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984,32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45,68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54 256,27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44 693,29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9 562,98</w:t>
            </w:r>
          </w:p>
        </w:tc>
      </w:tr>
      <w:tr w:rsidR="00263422" w:rsidRPr="00FE04B8" w:rsidTr="00DD282B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601,08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594,18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6,90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755 439,12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734 741,02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20 698,10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 xml:space="preserve">Дошкольное образование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228 671,28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224 210,19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4 461,09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 xml:space="preserve">Общее образование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452 159,97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436 151,18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16 008,79</w:t>
            </w:r>
          </w:p>
        </w:tc>
      </w:tr>
      <w:tr w:rsidR="00263422" w:rsidRPr="00FE04B8" w:rsidTr="00DD282B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48 893,19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48 795,84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97,35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6 123,86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6 119,39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4,47</w:t>
            </w:r>
          </w:p>
        </w:tc>
      </w:tr>
      <w:tr w:rsidR="00263422" w:rsidRPr="00FE04B8" w:rsidTr="00DD282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Другие вопросы в области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19 590,82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19 464,42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126,40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 xml:space="preserve">Культура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138 488,50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137 425,84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1 062,66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 xml:space="preserve">Культура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133 019,76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131 961,29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1 058,47</w:t>
            </w:r>
          </w:p>
        </w:tc>
      </w:tr>
      <w:tr w:rsidR="00263422" w:rsidRPr="00FE04B8" w:rsidTr="00DD282B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Другие вопросы в области  культуры,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5 468,74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5 464,55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4,19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545 183,07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535 000,03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10 183,04</w:t>
            </w:r>
          </w:p>
        </w:tc>
      </w:tr>
      <w:tr w:rsidR="00263422" w:rsidRPr="00FE04B8" w:rsidTr="00DD282B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Социальное обеспечение 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218 327,63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217 934,89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392,74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 xml:space="preserve">Охрана семьи и детства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303 179,39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293 389,09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9 790,30</w:t>
            </w:r>
          </w:p>
        </w:tc>
      </w:tr>
      <w:tr w:rsidR="00263422" w:rsidRPr="00FE04B8" w:rsidTr="00DD282B">
        <w:trPr>
          <w:trHeight w:val="4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Другие вопросы в области 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23 676,05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23 676,05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422" w:rsidRPr="00FE04B8" w:rsidTr="00DD282B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44 286,24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39 487,91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4 798,33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14 066,73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14 066,73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27 786,74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22 995,59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4 791,15</w:t>
            </w:r>
          </w:p>
        </w:tc>
      </w:tr>
      <w:tr w:rsidR="00263422" w:rsidRPr="00FE04B8" w:rsidTr="00DD282B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Другие вопросы в области физической 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2 432,77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2 425,59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E04B8">
              <w:rPr>
                <w:color w:val="000000"/>
                <w:sz w:val="22"/>
                <w:szCs w:val="22"/>
              </w:rPr>
              <w:t>7,18</w:t>
            </w:r>
          </w:p>
        </w:tc>
      </w:tr>
      <w:tr w:rsidR="00263422" w:rsidRPr="00FE04B8" w:rsidTr="00DD282B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2 089 552,97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1 952 736,91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4B8" w:rsidRPr="00FE04B8" w:rsidRDefault="00FE04B8" w:rsidP="00FE04B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4B8">
              <w:rPr>
                <w:b/>
                <w:bCs/>
                <w:color w:val="000000"/>
                <w:sz w:val="22"/>
                <w:szCs w:val="22"/>
              </w:rPr>
              <w:t>136 816,06</w:t>
            </w:r>
          </w:p>
        </w:tc>
      </w:tr>
    </w:tbl>
    <w:p w:rsidR="00335C90" w:rsidRPr="00335C90" w:rsidRDefault="00335C90" w:rsidP="006735B5">
      <w:pPr>
        <w:spacing w:line="240" w:lineRule="auto"/>
      </w:pPr>
    </w:p>
    <w:p w:rsidR="00B17941" w:rsidRDefault="00335C90" w:rsidP="006735B5">
      <w:pPr>
        <w:spacing w:line="240" w:lineRule="auto"/>
      </w:pPr>
      <w:r w:rsidRPr="00335C90">
        <w:t>Более 7</w:t>
      </w:r>
      <w:r w:rsidR="00D10D21">
        <w:t>6</w:t>
      </w:r>
      <w:r w:rsidRPr="00335C90">
        <w:t xml:space="preserve">,0% плановых назначений по расходам </w:t>
      </w:r>
      <w:r w:rsidR="00B712AB">
        <w:t>местного</w:t>
      </w:r>
      <w:r w:rsidRPr="00335C90">
        <w:t xml:space="preserve"> бюджета приходится на 3 раздела: </w:t>
      </w:r>
      <w:r w:rsidR="00D10D21" w:rsidRPr="00D10D21">
        <w:t xml:space="preserve">образование – </w:t>
      </w:r>
      <w:r w:rsidR="00E17105">
        <w:t>755439,12</w:t>
      </w:r>
      <w:r w:rsidR="00D10D21" w:rsidRPr="00D10D21">
        <w:t xml:space="preserve"> тыс. рублей или </w:t>
      </w:r>
      <w:r w:rsidR="00974BDA">
        <w:t>3</w:t>
      </w:r>
      <w:r w:rsidR="00E17105">
        <w:t>6</w:t>
      </w:r>
      <w:r w:rsidR="00974BDA">
        <w:t>,</w:t>
      </w:r>
      <w:r w:rsidR="00E17105">
        <w:t>2</w:t>
      </w:r>
      <w:r w:rsidR="00D10D21" w:rsidRPr="00D10D21">
        <w:t>%</w:t>
      </w:r>
      <w:r w:rsidR="00FE53A0">
        <w:t>,</w:t>
      </w:r>
      <w:r w:rsidR="00974BDA">
        <w:t xml:space="preserve"> </w:t>
      </w:r>
      <w:r w:rsidRPr="00335C90">
        <w:t xml:space="preserve">социальная политика – </w:t>
      </w:r>
      <w:r w:rsidR="00E17105">
        <w:t>545183,07</w:t>
      </w:r>
      <w:r w:rsidRPr="00335C90">
        <w:t xml:space="preserve"> тыс. рублей или </w:t>
      </w:r>
      <w:r w:rsidR="00E17105">
        <w:t>26,1</w:t>
      </w:r>
      <w:r w:rsidRPr="00335C90">
        <w:t xml:space="preserve">%, </w:t>
      </w:r>
      <w:r w:rsidR="00FE53A0">
        <w:t>общегосударственные вопросы</w:t>
      </w:r>
      <w:r w:rsidRPr="00335C90">
        <w:t xml:space="preserve"> –</w:t>
      </w:r>
      <w:r w:rsidR="0031477A">
        <w:t xml:space="preserve"> </w:t>
      </w:r>
      <w:r w:rsidRPr="00335C90">
        <w:t xml:space="preserve"> </w:t>
      </w:r>
      <w:r w:rsidR="00A0311D">
        <w:t>294035,67</w:t>
      </w:r>
      <w:r w:rsidRPr="00335C90">
        <w:t xml:space="preserve"> тыс. рублей или </w:t>
      </w:r>
      <w:r w:rsidR="00FE53A0">
        <w:t>1</w:t>
      </w:r>
      <w:r w:rsidR="00020058">
        <w:t>4</w:t>
      </w:r>
      <w:r w:rsidR="00FE53A0">
        <w:t>,</w:t>
      </w:r>
      <w:r w:rsidR="00A0311D">
        <w:t>1</w:t>
      </w:r>
      <w:r w:rsidRPr="00335C90">
        <w:t>%.</w:t>
      </w:r>
    </w:p>
    <w:p w:rsidR="00B17941" w:rsidRDefault="00335C90" w:rsidP="006735B5">
      <w:pPr>
        <w:spacing w:line="240" w:lineRule="auto"/>
      </w:pPr>
      <w:r w:rsidRPr="00335C90">
        <w:t xml:space="preserve"> Наименьший объем бюджетных назначений приходится на следующие разделы: национальная </w:t>
      </w:r>
      <w:r w:rsidR="004A182E">
        <w:t>экономика</w:t>
      </w:r>
      <w:r w:rsidRPr="00335C90">
        <w:t xml:space="preserve"> – </w:t>
      </w:r>
      <w:r w:rsidR="00A0311D">
        <w:t>250563,26</w:t>
      </w:r>
      <w:r w:rsidRPr="00335C90">
        <w:t xml:space="preserve"> тыс. рублей или </w:t>
      </w:r>
      <w:r w:rsidR="00020058">
        <w:t>12,</w:t>
      </w:r>
      <w:r w:rsidR="00184F6A">
        <w:t>0</w:t>
      </w:r>
      <w:r w:rsidRPr="00335C90">
        <w:t xml:space="preserve">%, </w:t>
      </w:r>
      <w:r w:rsidR="004A182E">
        <w:t>культура</w:t>
      </w:r>
      <w:r w:rsidRPr="00335C90">
        <w:t xml:space="preserve"> – </w:t>
      </w:r>
      <w:r w:rsidR="00184F6A">
        <w:t>138488,50</w:t>
      </w:r>
      <w:r w:rsidRPr="00335C90">
        <w:t xml:space="preserve"> тыс. рублей или </w:t>
      </w:r>
      <w:r w:rsidR="00184F6A">
        <w:t>6,6</w:t>
      </w:r>
      <w:r w:rsidR="00020058">
        <w:t xml:space="preserve"> </w:t>
      </w:r>
      <w:r w:rsidRPr="00335C90">
        <w:t xml:space="preserve">%, </w:t>
      </w:r>
      <w:r w:rsidR="00FB1166">
        <w:t>жилищно-коммунальное хозяйство</w:t>
      </w:r>
      <w:r w:rsidRPr="00335C90">
        <w:t xml:space="preserve"> – </w:t>
      </w:r>
      <w:r w:rsidR="0031477A">
        <w:t xml:space="preserve">         </w:t>
      </w:r>
      <w:r w:rsidR="00184F6A">
        <w:t xml:space="preserve">55887,35 </w:t>
      </w:r>
      <w:r w:rsidR="00FB1166">
        <w:t xml:space="preserve">тыс. рублей или </w:t>
      </w:r>
      <w:r w:rsidR="00184F6A">
        <w:t>2,7</w:t>
      </w:r>
      <w:r w:rsidR="009B6867">
        <w:t xml:space="preserve"> </w:t>
      </w:r>
      <w:r w:rsidRPr="00335C90">
        <w:t>%</w:t>
      </w:r>
      <w:r w:rsidR="00FB1166">
        <w:t xml:space="preserve">, </w:t>
      </w:r>
      <w:r w:rsidR="00544C88">
        <w:t xml:space="preserve">физическая культура и спорт – </w:t>
      </w:r>
      <w:r w:rsidR="00D651D9">
        <w:t xml:space="preserve">              </w:t>
      </w:r>
      <w:r w:rsidR="00184F6A">
        <w:t>44286,24</w:t>
      </w:r>
      <w:r w:rsidR="00544C88">
        <w:t xml:space="preserve"> тыс. рублей или  </w:t>
      </w:r>
      <w:r w:rsidR="00184F6A">
        <w:t>2,1</w:t>
      </w:r>
      <w:r w:rsidR="009B6867">
        <w:t xml:space="preserve"> </w:t>
      </w:r>
      <w:r w:rsidR="00544C88">
        <w:t xml:space="preserve">%, </w:t>
      </w:r>
      <w:r w:rsidR="003771F5">
        <w:t xml:space="preserve">национальная безопасность и правоохранительная деятельность – </w:t>
      </w:r>
      <w:r w:rsidR="00C9545F">
        <w:t>5669,76</w:t>
      </w:r>
      <w:r w:rsidR="003771F5">
        <w:t xml:space="preserve"> тыс. рублей или 0,</w:t>
      </w:r>
      <w:r w:rsidR="009B6867">
        <w:t>3</w:t>
      </w:r>
      <w:r w:rsidR="003771F5">
        <w:t>%</w:t>
      </w:r>
      <w:r w:rsidRPr="00335C90">
        <w:t xml:space="preserve">. </w:t>
      </w:r>
    </w:p>
    <w:p w:rsidR="00335C90" w:rsidRPr="00335C90" w:rsidRDefault="00335C90" w:rsidP="006735B5">
      <w:pPr>
        <w:spacing w:line="240" w:lineRule="auto"/>
      </w:pPr>
      <w:r w:rsidRPr="00335C90">
        <w:t>Уточненные плановые назначения не выпол</w:t>
      </w:r>
      <w:r w:rsidR="00B17941">
        <w:t>нены полностью ни по одному из 8</w:t>
      </w:r>
      <w:r w:rsidRPr="00335C90">
        <w:t xml:space="preserve"> разделов бюджетной классификации расходов бюджетов. Наименьшее исполнение сложилось по раздел</w:t>
      </w:r>
      <w:r w:rsidR="001E1E35">
        <w:t>у</w:t>
      </w:r>
      <w:r w:rsidRPr="00335C90">
        <w:t xml:space="preserve"> – </w:t>
      </w:r>
      <w:r w:rsidR="001E1E35" w:rsidRPr="001E1E35">
        <w:t xml:space="preserve">национальная экономика </w:t>
      </w:r>
      <w:r w:rsidR="0016401E">
        <w:t xml:space="preserve"> </w:t>
      </w:r>
      <w:r w:rsidR="004B2E9D">
        <w:t>(</w:t>
      </w:r>
      <w:r w:rsidR="00FC75F4">
        <w:t>75,6</w:t>
      </w:r>
      <w:r w:rsidR="004B2E9D">
        <w:t xml:space="preserve"> %).</w:t>
      </w:r>
      <w:r w:rsidRPr="00335C90">
        <w:t xml:space="preserve"> Одновременно в абсолютном выражении значительные объемы неисполненных назначений сложились по следующим разделам: </w:t>
      </w:r>
      <w:r w:rsidR="004B2E9D" w:rsidRPr="004B2E9D">
        <w:t xml:space="preserve">национальная экономика </w:t>
      </w:r>
      <w:r w:rsidRPr="00335C90">
        <w:t xml:space="preserve">– </w:t>
      </w:r>
      <w:r w:rsidR="0031477A">
        <w:t xml:space="preserve"> </w:t>
      </w:r>
      <w:r w:rsidR="00EB58B1">
        <w:t>61210,71</w:t>
      </w:r>
      <w:r w:rsidRPr="00335C90">
        <w:t xml:space="preserve"> тыс. рублей; </w:t>
      </w:r>
      <w:r w:rsidR="00AB52E9" w:rsidRPr="00AB52E9">
        <w:t xml:space="preserve">общегосударственные вопросы  – </w:t>
      </w:r>
      <w:r w:rsidR="0016401E">
        <w:t xml:space="preserve">  </w:t>
      </w:r>
      <w:r w:rsidR="00AB52E9" w:rsidRPr="00AB52E9">
        <w:t xml:space="preserve"> 29109,89 тыс. рублей</w:t>
      </w:r>
      <w:r w:rsidR="00AB52E9">
        <w:t>;</w:t>
      </w:r>
      <w:r w:rsidR="00AB52E9" w:rsidRPr="00AB52E9">
        <w:t xml:space="preserve"> </w:t>
      </w:r>
      <w:r w:rsidR="004B2E9D">
        <w:t xml:space="preserve">образование </w:t>
      </w:r>
      <w:r w:rsidRPr="00335C90">
        <w:t xml:space="preserve">– </w:t>
      </w:r>
      <w:r w:rsidR="00EB58B1">
        <w:t>20698,10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В целом объем неисполненных назначений составил </w:t>
      </w:r>
      <w:r w:rsidR="0016401E">
        <w:t xml:space="preserve">                    </w:t>
      </w:r>
      <w:r w:rsidR="00AB52E9">
        <w:t>136816,06</w:t>
      </w:r>
      <w:r w:rsidRPr="00335C90">
        <w:t xml:space="preserve"> тыс. рублей или </w:t>
      </w:r>
      <w:r w:rsidR="00FD40EB">
        <w:t>6,5</w:t>
      </w:r>
      <w:r w:rsidR="000B3870">
        <w:t xml:space="preserve"> </w:t>
      </w:r>
      <w:r w:rsidRPr="00335C90">
        <w:t xml:space="preserve">% общего объема расходов </w:t>
      </w:r>
      <w:r w:rsidR="004A152F">
        <w:t>местного</w:t>
      </w:r>
      <w:r w:rsidRPr="00335C90">
        <w:t xml:space="preserve"> бюджета.</w:t>
      </w:r>
    </w:p>
    <w:p w:rsidR="00335C90" w:rsidRPr="00335C90" w:rsidRDefault="00335C90" w:rsidP="006735B5">
      <w:pPr>
        <w:spacing w:line="240" w:lineRule="auto"/>
      </w:pPr>
      <w:r w:rsidRPr="00335C90">
        <w:t xml:space="preserve">Проведенный анализ исполнения расходов </w:t>
      </w:r>
      <w:r w:rsidR="006A3295">
        <w:t>местного</w:t>
      </w:r>
      <w:r w:rsidRPr="00335C90">
        <w:t xml:space="preserve"> бюджета в ведомственной структуре показал, что за отчетный финансовый год </w:t>
      </w:r>
      <w:r w:rsidR="00DB6C3D">
        <w:t>все</w:t>
      </w:r>
      <w:r w:rsidR="00AF6EFA" w:rsidRPr="00AF6EFA">
        <w:t xml:space="preserve"> субъект</w:t>
      </w:r>
      <w:r w:rsidR="00DB6C3D">
        <w:t>ы</w:t>
      </w:r>
      <w:r w:rsidR="00AF6EFA" w:rsidRPr="00AF6EFA">
        <w:t xml:space="preserve"> бюджетной отчетности</w:t>
      </w:r>
      <w:r w:rsidR="00AF6EFA">
        <w:t xml:space="preserve"> </w:t>
      </w:r>
      <w:r w:rsidR="00DB6C3D">
        <w:t xml:space="preserve">не </w:t>
      </w:r>
      <w:r w:rsidRPr="00335C90">
        <w:t>обеспечил</w:t>
      </w:r>
      <w:r w:rsidR="00DB6C3D">
        <w:t>и</w:t>
      </w:r>
      <w:r w:rsidRPr="00335C90">
        <w:t xml:space="preserve"> </w:t>
      </w:r>
      <w:r w:rsidR="00AF6EFA">
        <w:t>100%</w:t>
      </w:r>
      <w:r w:rsidRPr="00335C90">
        <w:t xml:space="preserve"> исполнение плановых назначений.</w:t>
      </w:r>
    </w:p>
    <w:p w:rsidR="00C8173F" w:rsidRDefault="00335C90" w:rsidP="006735B5">
      <w:pPr>
        <w:spacing w:line="240" w:lineRule="auto"/>
      </w:pPr>
      <w:r w:rsidRPr="00335C90">
        <w:t>Исполнение годовых назначений на среднем уровне и выше среднего уровня (</w:t>
      </w:r>
      <w:r w:rsidR="00F405FB">
        <w:t xml:space="preserve">91,0 </w:t>
      </w:r>
      <w:r w:rsidRPr="00335C90">
        <w:t xml:space="preserve">%) обеспечено </w:t>
      </w:r>
      <w:r w:rsidR="005A7E62">
        <w:t>6</w:t>
      </w:r>
      <w:r w:rsidRPr="00335C90">
        <w:t xml:space="preserve"> субъектами бюджетной отчетности. Оставши</w:t>
      </w:r>
      <w:r w:rsidR="00B3766D">
        <w:t>е</w:t>
      </w:r>
      <w:r w:rsidRPr="00335C90">
        <w:t xml:space="preserve">ся </w:t>
      </w:r>
      <w:r w:rsidR="00B3766D">
        <w:t xml:space="preserve">3 </w:t>
      </w:r>
      <w:r w:rsidRPr="00335C90">
        <w:lastRenderedPageBreak/>
        <w:t>субъект</w:t>
      </w:r>
      <w:r w:rsidR="00B3766D">
        <w:t>а</w:t>
      </w:r>
      <w:r w:rsidRPr="00335C90">
        <w:t xml:space="preserve"> бюджетной отчетности обеспечил исполнение уточненных назначений ниже среднего уровня: </w:t>
      </w:r>
      <w:r w:rsidR="000B07F2">
        <w:t xml:space="preserve">финансовое управление администрации </w:t>
      </w:r>
      <w:proofErr w:type="spellStart"/>
      <w:r w:rsidR="000B07F2">
        <w:t>Ипатовского</w:t>
      </w:r>
      <w:proofErr w:type="spellEnd"/>
      <w:r w:rsidR="000B07F2">
        <w:t xml:space="preserve"> городского округа Ставропольского края</w:t>
      </w:r>
      <w:r w:rsidRPr="00335C90">
        <w:t xml:space="preserve"> (</w:t>
      </w:r>
      <w:r w:rsidR="005A7E62">
        <w:t>64,5</w:t>
      </w:r>
      <w:r w:rsidRPr="00335C90">
        <w:t>%)</w:t>
      </w:r>
      <w:r w:rsidR="00CA3E93">
        <w:t xml:space="preserve">, </w:t>
      </w:r>
      <w:r w:rsidR="00C8173F">
        <w:t xml:space="preserve">управление по работе с территориями </w:t>
      </w:r>
      <w:r w:rsidR="00C8173F" w:rsidRPr="00C8173F">
        <w:t xml:space="preserve">администрации </w:t>
      </w:r>
      <w:proofErr w:type="spellStart"/>
      <w:r w:rsidR="00C8173F" w:rsidRPr="00C8173F">
        <w:t>Ипатовского</w:t>
      </w:r>
      <w:proofErr w:type="spellEnd"/>
      <w:r w:rsidR="00C8173F" w:rsidRPr="00C8173F">
        <w:t xml:space="preserve"> городского округа Ставропольского края (</w:t>
      </w:r>
      <w:r w:rsidR="005A7E62">
        <w:t>79,6</w:t>
      </w:r>
      <w:r w:rsidR="00C8173F" w:rsidRPr="00C8173F">
        <w:t>%)</w:t>
      </w:r>
      <w:r w:rsidR="005A7E62">
        <w:t>;</w:t>
      </w:r>
      <w:r w:rsidR="005A7E62" w:rsidRPr="005A7E62">
        <w:t xml:space="preserve"> комитет по физической культуре и спорту администрации </w:t>
      </w:r>
      <w:proofErr w:type="spellStart"/>
      <w:r w:rsidR="005A7E62" w:rsidRPr="005A7E62">
        <w:t>Ипатовского</w:t>
      </w:r>
      <w:proofErr w:type="spellEnd"/>
      <w:r w:rsidR="005A7E62" w:rsidRPr="005A7E62">
        <w:t xml:space="preserve"> городского округа Ставропольского края (89,2 %)</w:t>
      </w:r>
      <w:r w:rsidRPr="00335C90">
        <w:t>.</w:t>
      </w:r>
      <w:r w:rsidR="009F2D1C">
        <w:t xml:space="preserve"> </w:t>
      </w:r>
    </w:p>
    <w:p w:rsidR="00662B21" w:rsidRDefault="003714DB" w:rsidP="006735B5">
      <w:pPr>
        <w:spacing w:line="240" w:lineRule="auto"/>
      </w:pPr>
      <w:r>
        <w:t xml:space="preserve">Проведенный анализ исполнения расходов местного бюджета </w:t>
      </w:r>
      <w:r w:rsidR="00DF4B7C">
        <w:t xml:space="preserve">в ведомственной </w:t>
      </w:r>
      <w:r w:rsidR="00D32F4E">
        <w:t>структуре показал, что в 20</w:t>
      </w:r>
      <w:r w:rsidR="00236BC0">
        <w:t>20</w:t>
      </w:r>
      <w:r w:rsidR="00D32F4E">
        <w:t xml:space="preserve"> году значительный объем неисполненных назначений </w:t>
      </w:r>
      <w:r w:rsidR="00662B21">
        <w:t xml:space="preserve">(более </w:t>
      </w:r>
      <w:r w:rsidR="00D40758">
        <w:t>51</w:t>
      </w:r>
      <w:r w:rsidR="00662B21">
        <w:t>,0%) сложился в расходах следующ</w:t>
      </w:r>
      <w:r w:rsidR="00135604">
        <w:t>его</w:t>
      </w:r>
      <w:r w:rsidR="00662B21">
        <w:t xml:space="preserve"> учреждени</w:t>
      </w:r>
      <w:r w:rsidR="00135604">
        <w:t>я</w:t>
      </w:r>
      <w:r w:rsidR="00662B21">
        <w:t>:</w:t>
      </w:r>
    </w:p>
    <w:p w:rsidR="00D25605" w:rsidRDefault="00662B21" w:rsidP="006735B5">
      <w:pPr>
        <w:spacing w:line="240" w:lineRule="auto"/>
      </w:pPr>
      <w:r>
        <w:t xml:space="preserve"> </w:t>
      </w:r>
      <w:r w:rsidR="00225E52">
        <w:t xml:space="preserve">Управление по работе с территориями администрации </w:t>
      </w:r>
      <w:proofErr w:type="spellStart"/>
      <w:r w:rsidR="00225E52">
        <w:t>Ипатовского</w:t>
      </w:r>
      <w:proofErr w:type="spellEnd"/>
      <w:r w:rsidR="00225E52">
        <w:t xml:space="preserve"> городского округа Ставропольского края. </w:t>
      </w:r>
      <w:proofErr w:type="gramStart"/>
      <w:r w:rsidR="00225E52">
        <w:t xml:space="preserve">Объем неисполненных назначений составил </w:t>
      </w:r>
      <w:r w:rsidR="00D40758">
        <w:t>71141,11</w:t>
      </w:r>
      <w:r w:rsidR="00225E52">
        <w:t xml:space="preserve"> тыс. рублей</w:t>
      </w:r>
      <w:r w:rsidR="003B23F3">
        <w:t xml:space="preserve"> (или </w:t>
      </w:r>
      <w:r w:rsidR="00D40758">
        <w:t>51,8</w:t>
      </w:r>
      <w:r w:rsidR="003B23F3">
        <w:t xml:space="preserve"> %</w:t>
      </w:r>
      <w:r w:rsidR="00F60E80">
        <w:t>)</w:t>
      </w:r>
      <w:r w:rsidR="003B23F3">
        <w:t xml:space="preserve"> в общем объеме неисполненных назначений), в том числе по следующим основным направлениям:</w:t>
      </w:r>
      <w:proofErr w:type="gramEnd"/>
    </w:p>
    <w:p w:rsidR="00F60E80" w:rsidRDefault="00D25605" w:rsidP="006735B5">
      <w:pPr>
        <w:spacing w:line="240" w:lineRule="auto"/>
      </w:pPr>
      <w:r>
        <w:t>-</w:t>
      </w:r>
      <w:r w:rsidR="00662B21">
        <w:t xml:space="preserve"> </w:t>
      </w:r>
      <w:r>
        <w:t>к</w:t>
      </w:r>
      <w:r w:rsidRPr="00D25605">
        <w:t>апитальный ремонт и ремонт автомобильных дорог общего пользования местного значения за счет сре</w:t>
      </w:r>
      <w:proofErr w:type="gramStart"/>
      <w:r w:rsidRPr="00D25605">
        <w:t>дств кр</w:t>
      </w:r>
      <w:proofErr w:type="gramEnd"/>
      <w:r w:rsidRPr="00D25605">
        <w:t>аевого бюджета</w:t>
      </w:r>
      <w:r w:rsidR="00A07D29">
        <w:t xml:space="preserve">  </w:t>
      </w:r>
      <w:r w:rsidR="00B37F1F">
        <w:t xml:space="preserve">- </w:t>
      </w:r>
      <w:r w:rsidR="009C057D">
        <w:t xml:space="preserve">      </w:t>
      </w:r>
      <w:r w:rsidR="00F60E80">
        <w:t>71725,63</w:t>
      </w:r>
      <w:r w:rsidR="00A07D29">
        <w:t xml:space="preserve"> тыс. рублей</w:t>
      </w:r>
      <w:r w:rsidR="00F60E80">
        <w:t>;</w:t>
      </w:r>
    </w:p>
    <w:p w:rsidR="00F60E80" w:rsidRDefault="00F60E80" w:rsidP="006735B5">
      <w:pPr>
        <w:spacing w:line="240" w:lineRule="auto"/>
      </w:pPr>
      <w:r>
        <w:t>- р</w:t>
      </w:r>
      <w:r w:rsidRPr="00F60E80">
        <w:t>еализация мероприятий по благоустройству территорий в городских округах Ставропольского края, городских и сельских поселениях Ставропольского края</w:t>
      </w:r>
      <w:r w:rsidR="002D61E5">
        <w:t xml:space="preserve"> – 8806,02 тыс. рублей.</w:t>
      </w:r>
    </w:p>
    <w:p w:rsidR="003714DB" w:rsidRDefault="003C637B" w:rsidP="006735B5">
      <w:pPr>
        <w:spacing w:line="240" w:lineRule="auto"/>
      </w:pPr>
      <w:r>
        <w:t xml:space="preserve"> Причина образования остатка неисполненных назначений</w:t>
      </w:r>
      <w:r w:rsidR="009163FC">
        <w:t xml:space="preserve"> – работы будут </w:t>
      </w:r>
      <w:r w:rsidR="001B223C">
        <w:t>проводиться</w:t>
      </w:r>
      <w:r w:rsidR="009163FC">
        <w:t xml:space="preserve"> в 202</w:t>
      </w:r>
      <w:r w:rsidR="00F60E80">
        <w:t>1</w:t>
      </w:r>
      <w:r w:rsidR="009163FC">
        <w:t xml:space="preserve"> году.</w:t>
      </w:r>
      <w:r w:rsidR="00B37F1F">
        <w:t xml:space="preserve"> </w:t>
      </w:r>
    </w:p>
    <w:p w:rsidR="006735B5" w:rsidRDefault="006735B5" w:rsidP="006735B5">
      <w:pPr>
        <w:spacing w:line="240" w:lineRule="auto"/>
      </w:pPr>
    </w:p>
    <w:p w:rsidR="00F72319" w:rsidRPr="00CC4E29" w:rsidRDefault="00CC4E29" w:rsidP="006735B5">
      <w:pPr>
        <w:spacing w:line="240" w:lineRule="auto"/>
        <w:rPr>
          <w:b/>
        </w:rPr>
      </w:pPr>
      <w:r w:rsidRPr="00CC4E29">
        <w:rPr>
          <w:b/>
        </w:rPr>
        <w:t xml:space="preserve">Анализ исполнения дорожного фонда </w:t>
      </w:r>
      <w:proofErr w:type="spellStart"/>
      <w:r w:rsidRPr="00CC4E29">
        <w:rPr>
          <w:b/>
        </w:rPr>
        <w:t>Ипатовского</w:t>
      </w:r>
      <w:proofErr w:type="spellEnd"/>
      <w:r w:rsidRPr="00CC4E29">
        <w:rPr>
          <w:b/>
        </w:rPr>
        <w:t xml:space="preserve"> городского округа Ставропольского края</w:t>
      </w:r>
    </w:p>
    <w:p w:rsidR="00335C90" w:rsidRDefault="00335C90" w:rsidP="006735B5">
      <w:pPr>
        <w:spacing w:line="240" w:lineRule="auto"/>
      </w:pPr>
      <w:r w:rsidRPr="00335C90">
        <w:t xml:space="preserve">На основании требований пункта 4 статьи 179.4 БК РФ, </w:t>
      </w:r>
      <w:r w:rsidR="007D34EA">
        <w:t>р</w:t>
      </w:r>
      <w:r w:rsidR="007D34EA" w:rsidRPr="007D34EA">
        <w:t>ешени</w:t>
      </w:r>
      <w:r w:rsidR="007D34EA">
        <w:t>я</w:t>
      </w:r>
      <w:r w:rsidR="007D34EA" w:rsidRPr="007D34EA">
        <w:t xml:space="preserve"> Думы </w:t>
      </w:r>
      <w:proofErr w:type="spellStart"/>
      <w:r w:rsidR="007D34EA" w:rsidRPr="007D34EA">
        <w:t>Ипатовского</w:t>
      </w:r>
      <w:proofErr w:type="spellEnd"/>
      <w:r w:rsidR="007D34EA" w:rsidRPr="007D34EA">
        <w:t xml:space="preserve"> городского округа Ставропольского края от 12.12.2017</w:t>
      </w:r>
      <w:r w:rsidR="00995CB0">
        <w:t xml:space="preserve"> г</w:t>
      </w:r>
      <w:r w:rsidR="00D651D9">
        <w:t>.</w:t>
      </w:r>
      <w:r w:rsidR="007D34EA" w:rsidRPr="007D34EA">
        <w:t xml:space="preserve"> </w:t>
      </w:r>
      <w:r w:rsidR="007D34EA">
        <w:t>№</w:t>
      </w:r>
      <w:r w:rsidR="007D34EA" w:rsidRPr="007D34EA">
        <w:t xml:space="preserve"> 89 </w:t>
      </w:r>
      <w:r w:rsidR="007D34EA">
        <w:t>«</w:t>
      </w:r>
      <w:r w:rsidR="007D34EA" w:rsidRPr="007D34EA">
        <w:t xml:space="preserve">О муниципальном дорожном фонде </w:t>
      </w:r>
      <w:proofErr w:type="spellStart"/>
      <w:r w:rsidR="007D34EA" w:rsidRPr="007D34EA">
        <w:t>Ипатовского</w:t>
      </w:r>
      <w:proofErr w:type="spellEnd"/>
      <w:r w:rsidR="007D34EA" w:rsidRPr="007D34EA">
        <w:t xml:space="preserve"> городского округа Ставропольского края</w:t>
      </w:r>
      <w:r w:rsidR="007D34EA">
        <w:t>»</w:t>
      </w:r>
      <w:r w:rsidR="007D34EA" w:rsidRPr="007D34EA">
        <w:t xml:space="preserve"> </w:t>
      </w:r>
      <w:r w:rsidRPr="00335C90">
        <w:t xml:space="preserve">реализация мероприятий в сфере дорожного хозяйства осуществляется в рамках дорожного фонда </w:t>
      </w:r>
      <w:proofErr w:type="spellStart"/>
      <w:r w:rsidR="005D6A64">
        <w:t>Ипатовского</w:t>
      </w:r>
      <w:proofErr w:type="spellEnd"/>
      <w:r w:rsidR="005D6A64">
        <w:t xml:space="preserve"> городского округа </w:t>
      </w:r>
      <w:r w:rsidRPr="00335C90">
        <w:t>Ставропольского края.</w:t>
      </w:r>
    </w:p>
    <w:p w:rsidR="00146778" w:rsidRDefault="00D34FD0" w:rsidP="006735B5">
      <w:pPr>
        <w:spacing w:line="240" w:lineRule="auto"/>
      </w:pPr>
      <w:r>
        <w:t>Первоначально объем бюджетных ассигнований дорожного фонда на 20</w:t>
      </w:r>
      <w:r w:rsidR="00104FD9">
        <w:t>20</w:t>
      </w:r>
      <w:r>
        <w:t xml:space="preserve"> год был утвержден в сумме </w:t>
      </w:r>
      <w:r w:rsidR="00104FD9">
        <w:t>41212,61</w:t>
      </w:r>
      <w:r>
        <w:t xml:space="preserve"> тыс. рублей (</w:t>
      </w:r>
      <w:r w:rsidR="00A7315E">
        <w:t xml:space="preserve">часть 7 статьи 5 </w:t>
      </w:r>
      <w:r w:rsidR="004D2D9B" w:rsidRPr="004D2D9B">
        <w:t>решени</w:t>
      </w:r>
      <w:r w:rsidR="004D2D9B">
        <w:t>я</w:t>
      </w:r>
      <w:r w:rsidR="004D2D9B" w:rsidRPr="004D2D9B">
        <w:t xml:space="preserve"> о местном бюджете</w:t>
      </w:r>
      <w:r w:rsidR="004D2D9B">
        <w:t xml:space="preserve">). В ходе исполнения местного </w:t>
      </w:r>
      <w:proofErr w:type="gramStart"/>
      <w:r w:rsidR="004D2D9B">
        <w:t>бюджета</w:t>
      </w:r>
      <w:proofErr w:type="gramEnd"/>
      <w:r w:rsidR="004D2D9B">
        <w:t xml:space="preserve"> уточненные плановые назначения составили </w:t>
      </w:r>
      <w:r w:rsidR="00B65AB7">
        <w:t xml:space="preserve">249352,74 </w:t>
      </w:r>
      <w:r w:rsidR="004D2D9B" w:rsidRPr="004D2D9B">
        <w:t>тыс. рублей</w:t>
      </w:r>
      <w:r w:rsidR="00226728">
        <w:t>. По сравнению с 201</w:t>
      </w:r>
      <w:r w:rsidR="00504413">
        <w:t>9</w:t>
      </w:r>
      <w:r w:rsidR="00226728">
        <w:t xml:space="preserve"> годом объем бюджетных ассигнований дорожного фонда</w:t>
      </w:r>
      <w:r w:rsidR="00BC3C02">
        <w:t xml:space="preserve"> вырос на </w:t>
      </w:r>
      <w:r w:rsidR="00504413">
        <w:t>25908,16</w:t>
      </w:r>
      <w:r w:rsidR="00BC3C02">
        <w:t xml:space="preserve"> тыс. рублей или на </w:t>
      </w:r>
      <w:r w:rsidR="00B65AB7">
        <w:t>11,6</w:t>
      </w:r>
      <w:r w:rsidR="007354D4">
        <w:t xml:space="preserve"> %</w:t>
      </w:r>
      <w:r w:rsidR="00226728">
        <w:t xml:space="preserve"> </w:t>
      </w:r>
      <w:r w:rsidR="00124AB6">
        <w:t>(201</w:t>
      </w:r>
      <w:r w:rsidR="00B65AB7">
        <w:t>9</w:t>
      </w:r>
      <w:r w:rsidR="00124AB6">
        <w:t xml:space="preserve"> год – </w:t>
      </w:r>
      <w:r w:rsidR="009C057D">
        <w:t xml:space="preserve">                       </w:t>
      </w:r>
      <w:r w:rsidR="00B65AB7" w:rsidRPr="00B65AB7">
        <w:t xml:space="preserve">223444,58 </w:t>
      </w:r>
      <w:r w:rsidR="00124AB6">
        <w:t>тыс. рублей)</w:t>
      </w:r>
      <w:r w:rsidR="007354D4">
        <w:t>.</w:t>
      </w:r>
    </w:p>
    <w:p w:rsidR="007661F2" w:rsidRDefault="007661F2" w:rsidP="006735B5">
      <w:pPr>
        <w:spacing w:line="240" w:lineRule="auto"/>
      </w:pPr>
      <w:r>
        <w:t xml:space="preserve">Перечень доходов, формирующих дорожный фонд, установлен </w:t>
      </w:r>
      <w:r w:rsidR="00D71448">
        <w:t xml:space="preserve">п.2 </w:t>
      </w:r>
      <w:r>
        <w:t>ч</w:t>
      </w:r>
      <w:r w:rsidR="00D71448">
        <w:t>.2</w:t>
      </w:r>
      <w:r>
        <w:t xml:space="preserve"> </w:t>
      </w:r>
      <w:r w:rsidR="00D71448">
        <w:t xml:space="preserve">Положения о муниципальном дорожном фонде </w:t>
      </w:r>
      <w:proofErr w:type="spellStart"/>
      <w:r w:rsidR="00D71448">
        <w:t>Ипатовского</w:t>
      </w:r>
      <w:proofErr w:type="spellEnd"/>
      <w:r w:rsidR="00D71448">
        <w:t xml:space="preserve"> городского округа Ставропольского края</w:t>
      </w:r>
      <w:r w:rsidR="0003149B">
        <w:t xml:space="preserve"> (далее – Положение)</w:t>
      </w:r>
      <w:r w:rsidR="00E70915">
        <w:t>. Размер дорожного фонда</w:t>
      </w:r>
      <w:r w:rsidR="009A67D9">
        <w:t xml:space="preserve"> не может быть меньше объемов поступлений по указанным доходам. </w:t>
      </w:r>
      <w:r w:rsidR="0003149B" w:rsidRPr="0003149B">
        <w:t xml:space="preserve">Объем бюджетных ассигнований </w:t>
      </w:r>
      <w:r w:rsidR="0003149B">
        <w:t>дорожного ф</w:t>
      </w:r>
      <w:r w:rsidR="0003149B" w:rsidRPr="0003149B">
        <w:t xml:space="preserve">онда подлежит корректировке в текущем финансовом году с учетом фактического поступления в местный бюджет доходов указанных в п.2 ч.2 Положения, путем внесения изменений в решение </w:t>
      </w:r>
      <w:r w:rsidR="0003149B" w:rsidRPr="0003149B">
        <w:lastRenderedPageBreak/>
        <w:t xml:space="preserve">Думы </w:t>
      </w:r>
      <w:proofErr w:type="spellStart"/>
      <w:r w:rsidR="0003149B" w:rsidRPr="0003149B">
        <w:t>Ипатовского</w:t>
      </w:r>
      <w:proofErr w:type="spellEnd"/>
      <w:r w:rsidR="0003149B" w:rsidRPr="0003149B">
        <w:t xml:space="preserve"> городского округа Ставропольского края о местном бюджете на очередной финансовый год и плановый период.</w:t>
      </w:r>
    </w:p>
    <w:p w:rsidR="00DF2FBA" w:rsidRDefault="001C3E58" w:rsidP="006735B5">
      <w:pPr>
        <w:spacing w:line="240" w:lineRule="auto"/>
      </w:pPr>
      <w:r>
        <w:t>Информация об источниках формирования дорожного фонда в 20</w:t>
      </w:r>
      <w:r w:rsidR="0003149B">
        <w:t>20</w:t>
      </w:r>
      <w:r>
        <w:t xml:space="preserve"> году представлена в следующей таблице:</w:t>
      </w:r>
    </w:p>
    <w:p w:rsidR="007638B9" w:rsidRDefault="007638B9" w:rsidP="006735B5">
      <w:pPr>
        <w:spacing w:line="240" w:lineRule="auto"/>
        <w:jc w:val="right"/>
      </w:pPr>
      <w: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843"/>
        <w:gridCol w:w="1701"/>
        <w:gridCol w:w="992"/>
        <w:gridCol w:w="1559"/>
      </w:tblGrid>
      <w:tr w:rsidR="000F6D01" w:rsidRPr="000F6D01" w:rsidTr="009F6855">
        <w:trPr>
          <w:trHeight w:val="90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Наименование источников формирования дорожного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Фактическое поступление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0F6D01" w:rsidRPr="000F6D01" w:rsidTr="009F6855">
        <w:trPr>
          <w:trHeight w:val="345"/>
          <w:tblHeader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F6D01" w:rsidRPr="000F6D01" w:rsidTr="009F68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ВСЕГО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249 352,74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249 352,74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41 212,61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41 212,61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Акцизы на нефтепродукты (общей суммой)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40 245,50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34 452,34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-5 793,16</w:t>
            </w:r>
          </w:p>
        </w:tc>
      </w:tr>
      <w:tr w:rsidR="000F6D01" w:rsidRPr="000F6D01" w:rsidTr="009F6855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(общей суммой)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726,15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726,15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240,96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6 034,12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5 793,16</w:t>
            </w:r>
          </w:p>
        </w:tc>
      </w:tr>
      <w:tr w:rsidR="000F6D01" w:rsidRPr="000F6D01" w:rsidTr="009F6855">
        <w:trPr>
          <w:trHeight w:val="4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129 162,97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129 162,97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5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129 162,97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129 162,97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6D0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11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Субсидии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125 510,01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125 510,01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14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Субсидии на реализацию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3 652,96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3 652,96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01" w:rsidRPr="000F6D01" w:rsidRDefault="000F6D01" w:rsidP="000F6D0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F6D01">
              <w:rPr>
                <w:b/>
                <w:bCs/>
                <w:sz w:val="24"/>
                <w:szCs w:val="24"/>
              </w:rPr>
              <w:t>Остатки средств, 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D01">
              <w:rPr>
                <w:b/>
                <w:bCs/>
                <w:sz w:val="24"/>
                <w:szCs w:val="24"/>
              </w:rPr>
              <w:t>78 977,16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D01">
              <w:rPr>
                <w:b/>
                <w:bCs/>
                <w:sz w:val="24"/>
                <w:szCs w:val="24"/>
              </w:rPr>
              <w:t>78 977,16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D01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D0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6D01">
              <w:rPr>
                <w:sz w:val="24"/>
                <w:szCs w:val="24"/>
              </w:rPr>
              <w:t>собственные средства (остатки бюджетных ассигнований, не использованных на начало года, уточненные решением о бюджете) остатки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6 788,97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6 788,97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Остатки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2 892,69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2 892,69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D01" w:rsidRPr="000F6D01" w:rsidTr="009F6855">
        <w:trPr>
          <w:trHeight w:val="13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6D01">
              <w:rPr>
                <w:sz w:val="24"/>
                <w:szCs w:val="24"/>
              </w:rPr>
              <w:t>межбюджетные трансферты из краевого бюджета (остатки на начало года, разрешенные к использованию и уточненные решением о бюджете)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69 295,50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69 295,50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D01" w:rsidRPr="000F6D01" w:rsidRDefault="000F6D01" w:rsidP="006F3D2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F6D01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A044E5" w:rsidRDefault="00A044E5" w:rsidP="006735B5">
      <w:pPr>
        <w:spacing w:line="240" w:lineRule="auto"/>
      </w:pPr>
    </w:p>
    <w:p w:rsidR="004C1179" w:rsidRDefault="004C1179" w:rsidP="006735B5">
      <w:pPr>
        <w:spacing w:line="240" w:lineRule="auto"/>
      </w:pPr>
      <w:r>
        <w:t xml:space="preserve">В соответствии с </w:t>
      </w:r>
      <w:r w:rsidR="00435435">
        <w:t xml:space="preserve">ч.3 п.3 Положения о муниципальном дорожном фонде </w:t>
      </w:r>
      <w:proofErr w:type="spellStart"/>
      <w:r w:rsidR="00435435">
        <w:t>Ипатовского</w:t>
      </w:r>
      <w:proofErr w:type="spellEnd"/>
      <w:r w:rsidR="00435435">
        <w:t xml:space="preserve"> городского округа Ставропольского края</w:t>
      </w:r>
      <w:r w:rsidR="00233B75">
        <w:t>, бюджетные ассигнования дорожного фонда распределены по следующим направлениям расходов, отраженным в следующей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35"/>
        <w:gridCol w:w="1560"/>
        <w:gridCol w:w="850"/>
        <w:gridCol w:w="1559"/>
      </w:tblGrid>
      <w:tr w:rsidR="009C057D" w:rsidRPr="00615466" w:rsidTr="00BB2532">
        <w:trPr>
          <w:trHeight w:val="840"/>
          <w:tblHeader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7D" w:rsidRPr="00615466" w:rsidRDefault="009C057D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lastRenderedPageBreak/>
              <w:t>Направления расходования средств дорожного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7D" w:rsidRPr="00615466" w:rsidRDefault="009C057D" w:rsidP="00D651D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Уточненные бюджетные наз</w:t>
            </w:r>
            <w:r w:rsidRPr="00615466">
              <w:rPr>
                <w:color w:val="000000"/>
                <w:sz w:val="24"/>
                <w:szCs w:val="24"/>
              </w:rPr>
              <w:t>начения (Решение от 15</w:t>
            </w:r>
            <w:r w:rsidR="00D651D9">
              <w:rPr>
                <w:color w:val="000000"/>
                <w:sz w:val="24"/>
                <w:szCs w:val="24"/>
              </w:rPr>
              <w:t>.12.</w:t>
            </w:r>
            <w:r w:rsidRPr="00615466">
              <w:rPr>
                <w:color w:val="000000"/>
                <w:sz w:val="24"/>
                <w:szCs w:val="24"/>
              </w:rPr>
              <w:t>2020 г. № 151)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57D" w:rsidRPr="00615466" w:rsidRDefault="009C057D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Фактическое поступление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7D" w:rsidRPr="00615466" w:rsidRDefault="009C057D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9C057D" w:rsidRPr="00615466" w:rsidTr="00BB2532">
        <w:trPr>
          <w:trHeight w:val="285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7D" w:rsidRPr="00615466" w:rsidRDefault="009C057D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7D" w:rsidRPr="00615466" w:rsidRDefault="009C057D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7D" w:rsidRPr="00615466" w:rsidRDefault="009C057D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7D" w:rsidRPr="00615466" w:rsidRDefault="009C057D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7D" w:rsidRPr="00615466" w:rsidRDefault="009C057D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00866" w:rsidRPr="00615466" w:rsidTr="00BB253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20992,00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20399,23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-592,77</w:t>
            </w:r>
          </w:p>
        </w:tc>
      </w:tr>
      <w:tr w:rsidR="00F00866" w:rsidRPr="00615466" w:rsidTr="00BB2532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Замена и установка дорожных знаков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1088,28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1009,24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-79,04</w:t>
            </w:r>
          </w:p>
        </w:tc>
      </w:tr>
      <w:tr w:rsidR="00F00866" w:rsidRPr="00615466" w:rsidTr="00BB2532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Установка и содержание светофоров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1692,48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1692,48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00866" w:rsidRPr="00615466" w:rsidTr="00BB253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Обустройство пешеходных переходов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1350,23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1322,97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-27,26</w:t>
            </w:r>
          </w:p>
        </w:tc>
      </w:tr>
      <w:tr w:rsidR="00F00866" w:rsidRPr="00615466" w:rsidTr="00BB2532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Разработка проектов организации дорожного движения (ПОДД)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380,84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380,84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00866" w:rsidRPr="00615466" w:rsidTr="00BB2532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Ремонт автомобильных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223848,92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163347,16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-60501,76</w:t>
            </w:r>
          </w:p>
        </w:tc>
      </w:tr>
      <w:tr w:rsidR="00F00866" w:rsidRPr="00615466" w:rsidTr="00BB253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249352,75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188151,92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66" w:rsidRPr="00615466" w:rsidRDefault="00615466" w:rsidP="0061546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5466">
              <w:rPr>
                <w:color w:val="000000"/>
                <w:sz w:val="24"/>
                <w:szCs w:val="24"/>
              </w:rPr>
              <w:t>-61200,83</w:t>
            </w:r>
          </w:p>
        </w:tc>
      </w:tr>
    </w:tbl>
    <w:p w:rsidR="00615466" w:rsidRDefault="00615466" w:rsidP="00615466">
      <w:pPr>
        <w:spacing w:line="240" w:lineRule="auto"/>
        <w:ind w:firstLine="0"/>
      </w:pPr>
    </w:p>
    <w:p w:rsidR="00233B75" w:rsidRDefault="00D17E5B" w:rsidP="006735B5">
      <w:pPr>
        <w:spacing w:line="240" w:lineRule="auto"/>
      </w:pPr>
      <w:r w:rsidRPr="00D17E5B">
        <w:t>Исполнение годовых плановых назначений дорожного фонда в 20</w:t>
      </w:r>
      <w:r w:rsidR="00DD0A5D">
        <w:t>20</w:t>
      </w:r>
      <w:r w:rsidRPr="00D17E5B">
        <w:t xml:space="preserve"> году составило </w:t>
      </w:r>
      <w:r w:rsidR="00EC2D97">
        <w:t>75,5</w:t>
      </w:r>
      <w:r w:rsidRPr="00D17E5B">
        <w:t xml:space="preserve"> % или тыс. рублей, что на </w:t>
      </w:r>
      <w:r w:rsidR="00156CB2">
        <w:t>42921,73</w:t>
      </w:r>
      <w:r w:rsidRPr="00D17E5B">
        <w:t xml:space="preserve"> тыс. рублей выше аналоги</w:t>
      </w:r>
      <w:r w:rsidR="00EC2D97">
        <w:t>чного показателя 201</w:t>
      </w:r>
      <w:r w:rsidR="00156CB2">
        <w:t>9</w:t>
      </w:r>
      <w:r w:rsidR="00EC2D97">
        <w:t xml:space="preserve"> года (2019</w:t>
      </w:r>
      <w:r w:rsidRPr="00D17E5B">
        <w:t xml:space="preserve"> год</w:t>
      </w:r>
      <w:r w:rsidR="0093521D">
        <w:t xml:space="preserve"> </w:t>
      </w:r>
      <w:r w:rsidRPr="00D17E5B">
        <w:t xml:space="preserve">-  </w:t>
      </w:r>
      <w:r w:rsidR="00EC2D97" w:rsidRPr="00EC2D97">
        <w:t xml:space="preserve">145230,19 </w:t>
      </w:r>
      <w:r w:rsidRPr="00D17E5B">
        <w:t>тыс. рублей).</w:t>
      </w:r>
    </w:p>
    <w:p w:rsidR="005309F7" w:rsidRPr="00335C90" w:rsidRDefault="005309F7" w:rsidP="006735B5">
      <w:pPr>
        <w:spacing w:line="240" w:lineRule="auto"/>
      </w:pPr>
      <w:r w:rsidRPr="005309F7">
        <w:t xml:space="preserve">Наибольший удельный вес в структуре расходов за счет ассигнований дорожного фонда занимают расходы на ремонт автомобильных дорог и тротуаров – </w:t>
      </w:r>
      <w:r w:rsidR="00156CB2">
        <w:t>86,8</w:t>
      </w:r>
      <w:r w:rsidRPr="005309F7">
        <w:t xml:space="preserve"> %, кассовое исполнение сложилось в сумме </w:t>
      </w:r>
      <w:r w:rsidR="009C057D">
        <w:t xml:space="preserve">                </w:t>
      </w:r>
      <w:r w:rsidR="00156CB2">
        <w:t>163347,16</w:t>
      </w:r>
      <w:r w:rsidRPr="005309F7">
        <w:t xml:space="preserve"> тыс. рублей или </w:t>
      </w:r>
      <w:r w:rsidR="00156CB2">
        <w:t>73,0</w:t>
      </w:r>
      <w:r w:rsidRPr="005309F7">
        <w:t xml:space="preserve"> %. За счет указанных средств отремонтировано </w:t>
      </w:r>
      <w:r w:rsidR="005B7770">
        <w:t>0,42</w:t>
      </w:r>
      <w:r w:rsidRPr="005309F7">
        <w:t xml:space="preserve"> км тротуаров, отремонтировано </w:t>
      </w:r>
      <w:r w:rsidR="005B7770">
        <w:t>50,07</w:t>
      </w:r>
      <w:r w:rsidRPr="005309F7">
        <w:t xml:space="preserve"> тыс. м</w:t>
      </w:r>
      <w:proofErr w:type="gramStart"/>
      <w:r w:rsidRPr="005309F7">
        <w:t>2</w:t>
      </w:r>
      <w:proofErr w:type="gramEnd"/>
      <w:r w:rsidRPr="005309F7">
        <w:t xml:space="preserve"> автодорог в щебеночном исполнении, выполнен ремонт автодорог с асфальтобетонным покрытием- </w:t>
      </w:r>
      <w:r w:rsidR="009C057D">
        <w:t xml:space="preserve">  </w:t>
      </w:r>
      <w:r w:rsidR="005B7770">
        <w:t>21,8</w:t>
      </w:r>
      <w:r w:rsidRPr="005309F7">
        <w:t xml:space="preserve"> км. Денежные средства не использованы в связи с тем, что выполнение работ по ремонту дорог запланировано в 202</w:t>
      </w:r>
      <w:r w:rsidR="005B7770">
        <w:t>1</w:t>
      </w:r>
      <w:r w:rsidRPr="005309F7">
        <w:t xml:space="preserve"> году.</w:t>
      </w:r>
    </w:p>
    <w:p w:rsidR="002D1E23" w:rsidRDefault="00CC4DD3" w:rsidP="006735B5">
      <w:pPr>
        <w:spacing w:line="240" w:lineRule="auto"/>
      </w:pPr>
      <w:r>
        <w:t>В рамках расходов</w:t>
      </w:r>
      <w:r w:rsidR="00BB2532">
        <w:t>,</w:t>
      </w:r>
      <w:r>
        <w:t xml:space="preserve"> направленных </w:t>
      </w:r>
      <w:r w:rsidR="00335C90" w:rsidRPr="00335C90">
        <w:t xml:space="preserve">на </w:t>
      </w:r>
      <w:r w:rsidR="003C3787">
        <w:t>у</w:t>
      </w:r>
      <w:r w:rsidR="003C3787" w:rsidRPr="003C3787">
        <w:t>лучшение условий дорожного движения  и устранение опасных участков на автомобильных дорогах общего пользования</w:t>
      </w:r>
      <w:r w:rsidR="00BB2532">
        <w:t>,</w:t>
      </w:r>
      <w:r w:rsidR="00335C90" w:rsidRPr="00335C90">
        <w:t xml:space="preserve"> </w:t>
      </w:r>
      <w:r w:rsidR="008A77A9">
        <w:t>в 20</w:t>
      </w:r>
      <w:r w:rsidR="005B7770">
        <w:t>20</w:t>
      </w:r>
      <w:r w:rsidR="008A77A9">
        <w:t xml:space="preserve"> году </w:t>
      </w:r>
      <w:r w:rsidR="004224B4">
        <w:t>реализовано:</w:t>
      </w:r>
    </w:p>
    <w:p w:rsidR="00E856B4" w:rsidRDefault="002D1E23" w:rsidP="006735B5">
      <w:pPr>
        <w:spacing w:line="240" w:lineRule="auto"/>
      </w:pPr>
      <w:r>
        <w:t>- з</w:t>
      </w:r>
      <w:r w:rsidR="006F4F1E">
        <w:t xml:space="preserve">имнее содержание автодорог, нанесение дорожной разметки, в том числе: ямочный ремонт асфальтобетонного покрытия – </w:t>
      </w:r>
      <w:r w:rsidR="005B7770">
        <w:t>11500,0</w:t>
      </w:r>
      <w:r w:rsidR="008B43E9">
        <w:t xml:space="preserve"> </w:t>
      </w:r>
      <w:r w:rsidR="006F4F1E">
        <w:t>м</w:t>
      </w:r>
      <w:proofErr w:type="gramStart"/>
      <w:r w:rsidR="006F4F1E">
        <w:t>2</w:t>
      </w:r>
      <w:proofErr w:type="gramEnd"/>
      <w:r w:rsidR="006F4F1E">
        <w:t xml:space="preserve">, механизированный </w:t>
      </w:r>
      <w:proofErr w:type="spellStart"/>
      <w:r w:rsidR="006F4F1E">
        <w:t>обкос</w:t>
      </w:r>
      <w:proofErr w:type="spellEnd"/>
      <w:r w:rsidR="006F4F1E">
        <w:t xml:space="preserve"> обочин – </w:t>
      </w:r>
      <w:r w:rsidR="005B7770">
        <w:t>894</w:t>
      </w:r>
      <w:r w:rsidR="006F4F1E">
        <w:t xml:space="preserve"> км прохода, ручной </w:t>
      </w:r>
      <w:proofErr w:type="spellStart"/>
      <w:r w:rsidR="006F4F1E">
        <w:t>обкос</w:t>
      </w:r>
      <w:proofErr w:type="spellEnd"/>
      <w:r w:rsidR="006F4F1E">
        <w:t xml:space="preserve"> – </w:t>
      </w:r>
      <w:r w:rsidR="000543AF">
        <w:t>3078,0</w:t>
      </w:r>
      <w:r w:rsidR="006F4F1E">
        <w:t xml:space="preserve"> м2</w:t>
      </w:r>
      <w:r>
        <w:t>. На указанные цели направлен</w:t>
      </w:r>
      <w:r w:rsidR="00F73957">
        <w:t>ы средст</w:t>
      </w:r>
      <w:r w:rsidR="00996A99">
        <w:t>в</w:t>
      </w:r>
      <w:r w:rsidR="00F73957">
        <w:t>а дорожного фонда в сумме</w:t>
      </w:r>
      <w:r>
        <w:t xml:space="preserve"> </w:t>
      </w:r>
      <w:r w:rsidR="00DD1EC1">
        <w:t xml:space="preserve">       </w:t>
      </w:r>
      <w:r w:rsidR="000543AF">
        <w:t>20992,00</w:t>
      </w:r>
      <w:r>
        <w:t xml:space="preserve"> тыс. рублей</w:t>
      </w:r>
      <w:r w:rsidR="00F73957">
        <w:t>.</w:t>
      </w:r>
      <w:r w:rsidR="00996A99">
        <w:t xml:space="preserve"> Кассовое исполнение сложилось в сумме</w:t>
      </w:r>
      <w:r w:rsidR="008B43E9">
        <w:t xml:space="preserve"> </w:t>
      </w:r>
      <w:r w:rsidR="00DD1EC1">
        <w:t xml:space="preserve">              </w:t>
      </w:r>
      <w:r w:rsidR="000543AF">
        <w:t>20399,23</w:t>
      </w:r>
      <w:r w:rsidR="00996A99">
        <w:t xml:space="preserve"> тыс. рублей</w:t>
      </w:r>
      <w:r w:rsidR="00F73957">
        <w:t xml:space="preserve"> </w:t>
      </w:r>
      <w:r w:rsidR="00996A99">
        <w:t xml:space="preserve"> или </w:t>
      </w:r>
      <w:r w:rsidR="000543AF">
        <w:t>97,2</w:t>
      </w:r>
      <w:r w:rsidR="00996A99">
        <w:t xml:space="preserve"> %.</w:t>
      </w:r>
      <w:r w:rsidR="006F4F1E">
        <w:t xml:space="preserve"> Денежные средства  не использованы на зимнее содержание автомобильных дорог в связи с высокими наружными температурами</w:t>
      </w:r>
      <w:r w:rsidR="00E856B4">
        <w:t>;</w:t>
      </w:r>
    </w:p>
    <w:p w:rsidR="00E856B4" w:rsidRDefault="00E856B4" w:rsidP="006735B5">
      <w:pPr>
        <w:spacing w:line="240" w:lineRule="auto"/>
      </w:pPr>
      <w:r>
        <w:t>-</w:t>
      </w:r>
      <w:r w:rsidRPr="00E856B4">
        <w:t xml:space="preserve"> </w:t>
      </w:r>
      <w:r w:rsidR="003F14BC">
        <w:t>у</w:t>
      </w:r>
      <w:r w:rsidRPr="00E856B4">
        <w:t>становлено 17</w:t>
      </w:r>
      <w:r w:rsidR="000543AF">
        <w:t>3</w:t>
      </w:r>
      <w:r w:rsidRPr="00E856B4">
        <w:t xml:space="preserve"> знака</w:t>
      </w:r>
      <w:r w:rsidR="003F14BC">
        <w:t>;</w:t>
      </w:r>
    </w:p>
    <w:p w:rsidR="00E856B4" w:rsidRDefault="00E856B4" w:rsidP="006735B5">
      <w:pPr>
        <w:spacing w:line="240" w:lineRule="auto"/>
      </w:pPr>
      <w:r>
        <w:t>-</w:t>
      </w:r>
      <w:r w:rsidRPr="00E856B4">
        <w:t xml:space="preserve"> </w:t>
      </w:r>
      <w:r w:rsidR="000543AF">
        <w:t>установлен</w:t>
      </w:r>
      <w:r w:rsidR="00544B78">
        <w:t xml:space="preserve"> </w:t>
      </w:r>
      <w:r w:rsidR="00544B78" w:rsidRPr="00544B78">
        <w:t>1 светофорный объект</w:t>
      </w:r>
      <w:r w:rsidR="00544B78">
        <w:t>,</w:t>
      </w:r>
      <w:r w:rsidR="000543AF">
        <w:t xml:space="preserve"> </w:t>
      </w:r>
      <w:r w:rsidR="003F14BC">
        <w:t>з</w:t>
      </w:r>
      <w:r w:rsidRPr="00E856B4">
        <w:t xml:space="preserve">аменен 1 светофорный объект, </w:t>
      </w:r>
      <w:r w:rsidR="003F14BC">
        <w:t xml:space="preserve">проведено </w:t>
      </w:r>
      <w:r w:rsidRPr="00E856B4">
        <w:t>содержание 6 светофоров в г. Ипатово</w:t>
      </w:r>
      <w:r w:rsidR="003F14BC">
        <w:t>;</w:t>
      </w:r>
    </w:p>
    <w:p w:rsidR="003F14BC" w:rsidRDefault="003F14BC" w:rsidP="006735B5">
      <w:pPr>
        <w:spacing w:line="240" w:lineRule="auto"/>
      </w:pPr>
      <w:r>
        <w:t>- о</w:t>
      </w:r>
      <w:r w:rsidRPr="003F14BC">
        <w:t xml:space="preserve">бустроено </w:t>
      </w:r>
      <w:r w:rsidR="00544B78">
        <w:t>3</w:t>
      </w:r>
      <w:r w:rsidRPr="003F14BC">
        <w:t xml:space="preserve"> пешеходных переходов</w:t>
      </w:r>
      <w:r>
        <w:t>;</w:t>
      </w:r>
    </w:p>
    <w:p w:rsidR="008A77A9" w:rsidRDefault="00A87315" w:rsidP="006735B5">
      <w:pPr>
        <w:spacing w:line="240" w:lineRule="auto"/>
      </w:pPr>
      <w:r>
        <w:lastRenderedPageBreak/>
        <w:t>-</w:t>
      </w:r>
      <w:r w:rsidR="00335C90" w:rsidRPr="00335C90">
        <w:t xml:space="preserve"> </w:t>
      </w:r>
      <w:r>
        <w:t>н</w:t>
      </w:r>
      <w:r w:rsidR="003F14BC" w:rsidRPr="003F14BC">
        <w:t>а 17</w:t>
      </w:r>
      <w:r w:rsidR="00544B78">
        <w:t>2</w:t>
      </w:r>
      <w:r w:rsidR="003F14BC" w:rsidRPr="003F14BC">
        <w:t xml:space="preserve">,6 км автодорог изготовлены </w:t>
      </w:r>
      <w:r w:rsidRPr="00A87315">
        <w:t>проект</w:t>
      </w:r>
      <w:r>
        <w:t>ы</w:t>
      </w:r>
      <w:r w:rsidRPr="00A87315">
        <w:t xml:space="preserve"> организации дорожного движения</w:t>
      </w:r>
      <w:r w:rsidR="00DC2F72">
        <w:t>.</w:t>
      </w:r>
    </w:p>
    <w:p w:rsidR="00E353CB" w:rsidRDefault="00F53EB2" w:rsidP="006735B5">
      <w:pPr>
        <w:spacing w:line="240" w:lineRule="auto"/>
      </w:pPr>
      <w:r w:rsidRPr="00F53EB2">
        <w:t xml:space="preserve">В рамках реализации мероприятий подпрограммы </w:t>
      </w:r>
      <w:r w:rsidR="006A51AC">
        <w:t>«</w:t>
      </w:r>
      <w:r w:rsidRPr="00F53EB2">
        <w:t xml:space="preserve">Дорожное хозяйство и обеспечение </w:t>
      </w:r>
      <w:r w:rsidR="006A51AC">
        <w:t>безопасности дорожного движения»</w:t>
      </w:r>
      <w:r w:rsidRPr="00F53EB2">
        <w:t xml:space="preserve"> государственной программы Ставропольского края </w:t>
      </w:r>
      <w:r w:rsidR="006A51AC">
        <w:t>«</w:t>
      </w:r>
      <w:r w:rsidRPr="00F53EB2">
        <w:t>Развитие транспортной системы и обеспечение безопасности дорожного движения</w:t>
      </w:r>
      <w:r w:rsidR="006A51AC">
        <w:t>»</w:t>
      </w:r>
      <w:r w:rsidRPr="00F53EB2">
        <w:t xml:space="preserve"> за счет средств дорожного фонда Ставропольского края</w:t>
      </w:r>
      <w:r w:rsidR="006A51AC">
        <w:t>»</w:t>
      </w:r>
      <w:r w:rsidRPr="00F53EB2">
        <w:t xml:space="preserve"> предоставлены </w:t>
      </w:r>
      <w:r w:rsidR="00071737" w:rsidRPr="00071737">
        <w:t>субсиди</w:t>
      </w:r>
      <w:r w:rsidR="006A51AC">
        <w:t>и</w:t>
      </w:r>
      <w:r w:rsidR="00071737" w:rsidRPr="00071737">
        <w:t xml:space="preserve"> на капитальный ремонт и ремонт автомобильных дорог общего пользовани</w:t>
      </w:r>
      <w:r w:rsidR="00AD16DF">
        <w:t xml:space="preserve">я в сумме </w:t>
      </w:r>
      <w:r w:rsidR="00DD1EC1">
        <w:t xml:space="preserve">                </w:t>
      </w:r>
      <w:r w:rsidR="002B4478">
        <w:t>125510,01</w:t>
      </w:r>
      <w:r w:rsidR="00AD16DF">
        <w:t xml:space="preserve">  тыс. рублей</w:t>
      </w:r>
      <w:r w:rsidR="005A1A97">
        <w:t>.</w:t>
      </w:r>
      <w:r w:rsidR="00AD16DF">
        <w:t xml:space="preserve"> </w:t>
      </w:r>
      <w:r w:rsidR="005A1A97">
        <w:t>В результате</w:t>
      </w:r>
      <w:r w:rsidR="00AD16DF">
        <w:t xml:space="preserve"> </w:t>
      </w:r>
      <w:r w:rsidR="00071737" w:rsidRPr="00071737">
        <w:t xml:space="preserve"> значение показателя результативности использования субсидии по протяженности автомобильных дорог общего пользования местного значения составил</w:t>
      </w:r>
      <w:r w:rsidR="005A1A97">
        <w:t>о</w:t>
      </w:r>
      <w:r w:rsidR="00071737" w:rsidRPr="00071737">
        <w:t xml:space="preserve"> </w:t>
      </w:r>
      <w:r w:rsidR="00562C56">
        <w:t>20,533</w:t>
      </w:r>
      <w:r w:rsidR="00071737" w:rsidRPr="00071737">
        <w:t xml:space="preserve"> км. </w:t>
      </w:r>
    </w:p>
    <w:p w:rsidR="00335C90" w:rsidRPr="00335C90" w:rsidRDefault="00071737" w:rsidP="006735B5">
      <w:pPr>
        <w:spacing w:line="240" w:lineRule="auto"/>
      </w:pPr>
      <w:r w:rsidRPr="00071737">
        <w:t xml:space="preserve"> </w:t>
      </w: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исполнения программной и непрограммной части бюджета </w:t>
      </w:r>
      <w:proofErr w:type="spellStart"/>
      <w:r w:rsidR="00747791">
        <w:rPr>
          <w:b/>
          <w:bCs/>
        </w:rPr>
        <w:t>Ипатовского</w:t>
      </w:r>
      <w:proofErr w:type="spellEnd"/>
      <w:r w:rsidR="00747791">
        <w:rPr>
          <w:b/>
          <w:bCs/>
        </w:rPr>
        <w:t xml:space="preserve">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 xml:space="preserve">Исполнение </w:t>
      </w:r>
      <w:r w:rsidR="007530A8">
        <w:t>местного</w:t>
      </w:r>
      <w:r w:rsidRPr="00335C90">
        <w:t xml:space="preserve"> бюджета осуществлялось в рамках реализации </w:t>
      </w:r>
      <w:r w:rsidR="00277A67">
        <w:t>1</w:t>
      </w:r>
      <w:r w:rsidR="00701AD5">
        <w:t>5</w:t>
      </w:r>
      <w:r w:rsidR="00277A67">
        <w:t xml:space="preserve"> муниципальных</w:t>
      </w:r>
      <w:r w:rsidRPr="00335C90">
        <w:t xml:space="preserve"> программ </w:t>
      </w:r>
      <w:proofErr w:type="spellStart"/>
      <w:r w:rsidR="00277A67">
        <w:t>Ипатовского</w:t>
      </w:r>
      <w:proofErr w:type="spellEnd"/>
      <w:r w:rsidR="00277A67">
        <w:t xml:space="preserve"> городского округа </w:t>
      </w:r>
      <w:r w:rsidRPr="00335C90">
        <w:t xml:space="preserve">Ставропольского края (далее – программа) и реализации непрограммных направлений деятельности соответствующих главных распорядителей средств </w:t>
      </w:r>
      <w:r w:rsidR="00277A67">
        <w:t xml:space="preserve">местного </w:t>
      </w:r>
      <w:r w:rsidRPr="00335C90">
        <w:t>бюджета.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общем объеме уточненных плановых назначений </w:t>
      </w:r>
      <w:r w:rsidR="00DD1EC1">
        <w:t xml:space="preserve">                   </w:t>
      </w:r>
      <w:r w:rsidRPr="00335C90">
        <w:t>(</w:t>
      </w:r>
      <w:r w:rsidR="00E363B2">
        <w:t>2089552,97</w:t>
      </w:r>
      <w:r w:rsidRPr="00335C90">
        <w:t xml:space="preserve"> тыс. рублей) расходы на программы составили </w:t>
      </w:r>
      <w:r w:rsidR="00DD1EC1">
        <w:t xml:space="preserve">                 </w:t>
      </w:r>
      <w:r w:rsidR="00E363B2">
        <w:t>2048620,42</w:t>
      </w:r>
      <w:r w:rsidRPr="00335C90">
        <w:t xml:space="preserve"> тыс. рублей или </w:t>
      </w:r>
      <w:r w:rsidR="00277A67">
        <w:t>98,</w:t>
      </w:r>
      <w:r w:rsidR="00E363B2">
        <w:t>0</w:t>
      </w:r>
      <w:r w:rsidR="00AD14B0">
        <w:t xml:space="preserve"> </w:t>
      </w:r>
      <w:r w:rsidRPr="00335C90">
        <w:t xml:space="preserve">%, непрограммные расходы – </w:t>
      </w:r>
      <w:r w:rsidR="008C4BA5">
        <w:t xml:space="preserve"> </w:t>
      </w:r>
      <w:r w:rsidR="00DD1EC1">
        <w:t xml:space="preserve">              </w:t>
      </w:r>
      <w:r w:rsidR="00AD14B0">
        <w:t>40932,55</w:t>
      </w:r>
      <w:r w:rsidR="00C771FE">
        <w:t xml:space="preserve"> </w:t>
      </w:r>
      <w:r w:rsidRPr="00335C90">
        <w:t xml:space="preserve">тыс. рублей или </w:t>
      </w:r>
      <w:r w:rsidR="00AD14B0">
        <w:t xml:space="preserve">2,0 </w:t>
      </w:r>
      <w:r w:rsidRPr="00335C90">
        <w:t>%.</w:t>
      </w:r>
    </w:p>
    <w:p w:rsidR="00335C90" w:rsidRPr="00335C90" w:rsidRDefault="00335C90" w:rsidP="006735B5">
      <w:pPr>
        <w:spacing w:line="240" w:lineRule="auto"/>
      </w:pPr>
      <w:r w:rsidRPr="00335C90">
        <w:t>Фактическое исполнение программных расходов за 20</w:t>
      </w:r>
      <w:r w:rsidR="00AD14B0">
        <w:t>20</w:t>
      </w:r>
      <w:r w:rsidRPr="00335C90">
        <w:t xml:space="preserve"> год сложилось в сумме </w:t>
      </w:r>
      <w:r w:rsidR="005B2730">
        <w:t>1937672,97</w:t>
      </w:r>
      <w:r w:rsidRPr="00335C90">
        <w:t xml:space="preserve"> тыс. рублей или </w:t>
      </w:r>
      <w:r w:rsidR="005B2730">
        <w:t>94,6</w:t>
      </w:r>
      <w:r w:rsidR="00561ADD">
        <w:t xml:space="preserve"> </w:t>
      </w:r>
      <w:r w:rsidRPr="00335C90">
        <w:t xml:space="preserve">% планового объема, непрограммных расходов – </w:t>
      </w:r>
      <w:r w:rsidR="00CC02EB">
        <w:t>15063,94</w:t>
      </w:r>
      <w:r w:rsidRPr="00335C90">
        <w:t xml:space="preserve"> тыс. рублей или </w:t>
      </w:r>
      <w:r w:rsidR="00A671D4">
        <w:t>36,8</w:t>
      </w:r>
      <w:r w:rsidRPr="00335C90">
        <w:t xml:space="preserve">% плановых назначений. Объем неисполненных назначений по программным расходам составил </w:t>
      </w:r>
      <w:r w:rsidR="00322184">
        <w:t xml:space="preserve">                  </w:t>
      </w:r>
      <w:r w:rsidR="00A671D4">
        <w:t>110947,47</w:t>
      </w:r>
      <w:r w:rsidRPr="00335C90">
        <w:t xml:space="preserve"> тыс. рублей, непрограммным расходам – </w:t>
      </w:r>
      <w:r w:rsidR="0091603F">
        <w:t>25868,61</w:t>
      </w:r>
      <w:r w:rsidRPr="00335C90">
        <w:t xml:space="preserve"> тыс. рублей.</w:t>
      </w:r>
    </w:p>
    <w:p w:rsidR="00335C90" w:rsidRPr="00335C90" w:rsidRDefault="009F3D2D" w:rsidP="006735B5">
      <w:pPr>
        <w:spacing w:line="240" w:lineRule="auto"/>
      </w:pPr>
      <w:r>
        <w:t>Более</w:t>
      </w:r>
      <w:r w:rsidR="00335C90" w:rsidRPr="00335C90">
        <w:t xml:space="preserve"> 60,0% исполненных программных расходов занимают расходы социальной направленности, в том числе расходы по </w:t>
      </w:r>
      <w:r w:rsidR="00316548">
        <w:t>двум</w:t>
      </w:r>
      <w:r w:rsidR="00335C90" w:rsidRPr="00335C90">
        <w:t xml:space="preserve"> программам: «Развитие образования» (</w:t>
      </w:r>
      <w:r w:rsidR="0091603F">
        <w:t>38,3</w:t>
      </w:r>
      <w:r w:rsidR="00335C90" w:rsidRPr="00335C90">
        <w:t xml:space="preserve">% или </w:t>
      </w:r>
      <w:r w:rsidR="0091603F">
        <w:t>742736,65</w:t>
      </w:r>
      <w:r w:rsidR="00335C90" w:rsidRPr="00335C90">
        <w:t xml:space="preserve"> тыс. рублей), «Социальная поддержка граждан» (</w:t>
      </w:r>
      <w:r w:rsidR="00316548">
        <w:t>2</w:t>
      </w:r>
      <w:r w:rsidR="0091603F">
        <w:t>6,3</w:t>
      </w:r>
      <w:r w:rsidR="00335C90" w:rsidRPr="00335C90">
        <w:t xml:space="preserve">% или </w:t>
      </w:r>
      <w:r w:rsidR="0091603F">
        <w:t>509703,98</w:t>
      </w:r>
      <w:r w:rsidR="00335C90" w:rsidRPr="00335C90">
        <w:t xml:space="preserve"> тыс. рублей).</w:t>
      </w:r>
    </w:p>
    <w:p w:rsidR="00335C90" w:rsidRPr="00335C90" w:rsidRDefault="00A9223A" w:rsidP="006735B5">
      <w:pPr>
        <w:spacing w:line="240" w:lineRule="auto"/>
      </w:pPr>
      <w:r>
        <w:t>З</w:t>
      </w:r>
      <w:r w:rsidR="00335C90" w:rsidRPr="00335C90">
        <w:t xml:space="preserve">начительный удельный вес (в пределах от </w:t>
      </w:r>
      <w:r>
        <w:t>7,</w:t>
      </w:r>
      <w:r w:rsidR="00FA45A9">
        <w:t>1</w:t>
      </w:r>
      <w:r w:rsidR="005506B6">
        <w:t xml:space="preserve"> </w:t>
      </w:r>
      <w:r w:rsidR="00335C90" w:rsidRPr="00335C90">
        <w:t xml:space="preserve">% до </w:t>
      </w:r>
      <w:r w:rsidR="00FA45A9">
        <w:t>9,7</w:t>
      </w:r>
      <w:r w:rsidR="005506B6">
        <w:t xml:space="preserve"> </w:t>
      </w:r>
      <w:r w:rsidR="00335C90" w:rsidRPr="00335C90">
        <w:t xml:space="preserve">% или от </w:t>
      </w:r>
      <w:r w:rsidR="00322184">
        <w:t xml:space="preserve">       </w:t>
      </w:r>
      <w:r w:rsidR="00125AF7">
        <w:t>135958,24</w:t>
      </w:r>
      <w:r w:rsidR="00335C90" w:rsidRPr="00335C90">
        <w:t xml:space="preserve"> тыс. рублей до </w:t>
      </w:r>
      <w:r w:rsidR="00125AF7">
        <w:t>145242,20</w:t>
      </w:r>
      <w:r w:rsidR="00335C90" w:rsidRPr="00335C90">
        <w:t xml:space="preserve"> тыс. рублей) занимают расходы на программы «</w:t>
      </w:r>
      <w:r w:rsidR="00E549BD" w:rsidRPr="00E549BD">
        <w:t>Развитие культуры</w:t>
      </w:r>
      <w:r w:rsidR="00335C90" w:rsidRPr="00335C90">
        <w:t>», «</w:t>
      </w:r>
      <w:r w:rsidR="00DB5A51" w:rsidRPr="00DB5A51">
        <w:t>Развитие экономики, малого и среднего бизнеса, потребительского рынка и улучшение инвестиционного климата</w:t>
      </w:r>
      <w:r w:rsidR="00335C90" w:rsidRPr="00335C90">
        <w:t>»</w:t>
      </w:r>
      <w:r w:rsidR="00125AF7">
        <w:t xml:space="preserve"> и </w:t>
      </w:r>
      <w:r w:rsidR="00125AF7" w:rsidRPr="00125AF7">
        <w:t>«Развитие транспортной системы и обеспечение безопасности дорожного движения»</w:t>
      </w:r>
      <w:r w:rsidR="00335C90" w:rsidRPr="00335C90">
        <w:t>.</w:t>
      </w:r>
    </w:p>
    <w:p w:rsidR="00335C90" w:rsidRPr="00335C90" w:rsidRDefault="00335C90" w:rsidP="006735B5">
      <w:pPr>
        <w:spacing w:line="240" w:lineRule="auto"/>
      </w:pPr>
      <w:r w:rsidRPr="00335C90">
        <w:t>По итогам 20</w:t>
      </w:r>
      <w:r w:rsidR="003739BB">
        <w:t>20</w:t>
      </w:r>
      <w:r w:rsidRPr="00335C90">
        <w:t xml:space="preserve"> года </w:t>
      </w:r>
      <w:r w:rsidR="003A3E58" w:rsidRPr="003A3E58">
        <w:t>из 1</w:t>
      </w:r>
      <w:r w:rsidR="003A3E58">
        <w:t>5</w:t>
      </w:r>
      <w:r w:rsidR="003A3E58" w:rsidRPr="003A3E58">
        <w:t xml:space="preserve"> программ </w:t>
      </w:r>
      <w:r w:rsidR="003A3E58">
        <w:t xml:space="preserve">фактическое </w:t>
      </w:r>
      <w:r w:rsidR="003A3E58" w:rsidRPr="003A3E58">
        <w:t>исполнен</w:t>
      </w:r>
      <w:r w:rsidR="003A3E58">
        <w:t>ие</w:t>
      </w:r>
      <w:r w:rsidR="003A3E58" w:rsidRPr="003A3E58">
        <w:t xml:space="preserve"> в объеме </w:t>
      </w:r>
      <w:r w:rsidR="00FE331F">
        <w:t xml:space="preserve">    100,0 % сложилось по </w:t>
      </w:r>
      <w:r w:rsidR="003739BB">
        <w:t>3</w:t>
      </w:r>
      <w:r w:rsidR="00FE331F">
        <w:t xml:space="preserve"> </w:t>
      </w:r>
      <w:r w:rsidR="00122822">
        <w:t>программа</w:t>
      </w:r>
      <w:r w:rsidR="00FE331F">
        <w:t>м:</w:t>
      </w:r>
      <w:r w:rsidR="00122822">
        <w:t xml:space="preserve"> </w:t>
      </w:r>
      <w:proofErr w:type="gramStart"/>
      <w:r w:rsidR="00122822">
        <w:t>«</w:t>
      </w:r>
      <w:r w:rsidR="00C3211A" w:rsidRPr="00C3211A">
        <w:t>Развитие градостроительства и архитектуры »</w:t>
      </w:r>
      <w:r w:rsidR="005526FB">
        <w:t xml:space="preserve"> (</w:t>
      </w:r>
      <w:r w:rsidR="003739BB">
        <w:t>168,75</w:t>
      </w:r>
      <w:r w:rsidR="005526FB">
        <w:t xml:space="preserve"> тыс. рублей), </w:t>
      </w:r>
      <w:r w:rsidR="00CC05F7">
        <w:t xml:space="preserve"> </w:t>
      </w:r>
      <w:r w:rsidR="00CC05F7" w:rsidRPr="00CC05F7">
        <w:t xml:space="preserve">«Формирование современной городской среды» </w:t>
      </w:r>
      <w:r w:rsidR="00CC05F7">
        <w:t xml:space="preserve"> (463,29 тыс. рублей)</w:t>
      </w:r>
      <w:r w:rsidR="00FF010E">
        <w:t xml:space="preserve">, </w:t>
      </w:r>
      <w:r w:rsidR="005526FB">
        <w:t>«Малое село» (</w:t>
      </w:r>
      <w:r w:rsidR="00CC05F7">
        <w:t>1735,43</w:t>
      </w:r>
      <w:r w:rsidR="005526FB">
        <w:t xml:space="preserve"> тыс. рублей)</w:t>
      </w:r>
      <w:r w:rsidRPr="00335C90">
        <w:t>.</w:t>
      </w:r>
      <w:proofErr w:type="gramEnd"/>
      <w:r w:rsidRPr="00335C90">
        <w:t xml:space="preserve"> В тоже время достаточно высокий процент исполнения (более 99,0%) сложился по </w:t>
      </w:r>
      <w:r w:rsidR="00CE67DA">
        <w:t>3</w:t>
      </w:r>
      <w:r w:rsidRPr="00335C90">
        <w:t xml:space="preserve"> программам: </w:t>
      </w:r>
      <w:r w:rsidR="00344592" w:rsidRPr="00344592">
        <w:t>«Развитие культуры» в сумме 137100,84 тыс. рублей</w:t>
      </w:r>
      <w:r w:rsidR="00344592">
        <w:t xml:space="preserve">, </w:t>
      </w:r>
      <w:r w:rsidR="006C5778" w:rsidRPr="006C5778">
        <w:t xml:space="preserve">«Повышение эффективности бюджетных расходов и управления муниципальными </w:t>
      </w:r>
      <w:r w:rsidR="006C5778" w:rsidRPr="006C5778">
        <w:lastRenderedPageBreak/>
        <w:t xml:space="preserve">финансами» в сумме </w:t>
      </w:r>
      <w:r w:rsidR="00800E30">
        <w:t>46886,73</w:t>
      </w:r>
      <w:r w:rsidR="006C5778" w:rsidRPr="006C5778">
        <w:t xml:space="preserve"> тыс. рублей</w:t>
      </w:r>
      <w:r w:rsidR="0082426F">
        <w:t>,</w:t>
      </w:r>
      <w:r w:rsidR="00800E30">
        <w:t xml:space="preserve"> «Развитие сельского хозяйства</w:t>
      </w:r>
      <w:r w:rsidR="00083956">
        <w:t>» в сумме 4266,09 тыс. рублей</w:t>
      </w:r>
      <w:r w:rsidRPr="00335C90">
        <w:t>.</w:t>
      </w:r>
    </w:p>
    <w:p w:rsidR="00335C90" w:rsidRPr="00335C90" w:rsidRDefault="00335C90" w:rsidP="006735B5">
      <w:pPr>
        <w:spacing w:line="240" w:lineRule="auto"/>
      </w:pPr>
      <w:r w:rsidRPr="00335C90">
        <w:t>В наименьшем объеме исполнены программы</w:t>
      </w:r>
      <w:r w:rsidR="00CE67DA">
        <w:t xml:space="preserve">: </w:t>
      </w:r>
      <w:r w:rsidRPr="00335C90">
        <w:t xml:space="preserve"> </w:t>
      </w:r>
      <w:r w:rsidR="00744A56" w:rsidRPr="00744A56">
        <w:t>«Развитие транспортной системы и обеспечение безопасности дорожного движения»</w:t>
      </w:r>
      <w:r w:rsidR="00744A56">
        <w:t xml:space="preserve"> - </w:t>
      </w:r>
      <w:r w:rsidR="00DD1EC1">
        <w:t xml:space="preserve">               </w:t>
      </w:r>
      <w:r w:rsidR="00D6142B">
        <w:t>188163,94</w:t>
      </w:r>
      <w:r w:rsidR="00744A56">
        <w:t xml:space="preserve"> тыс. рублей </w:t>
      </w:r>
      <w:r w:rsidRPr="00335C90">
        <w:t xml:space="preserve">или </w:t>
      </w:r>
      <w:r w:rsidR="00D6142B">
        <w:t>75,5</w:t>
      </w:r>
      <w:r w:rsidR="00744A56">
        <w:t xml:space="preserve"> </w:t>
      </w:r>
      <w:r w:rsidRPr="00335C90">
        <w:t xml:space="preserve">% и  </w:t>
      </w:r>
      <w:r w:rsidR="00654E5D">
        <w:t xml:space="preserve">«Молодежь» </w:t>
      </w:r>
      <w:r w:rsidRPr="00335C90">
        <w:t xml:space="preserve">– </w:t>
      </w:r>
      <w:r w:rsidR="00D6142B">
        <w:t>10151,21</w:t>
      </w:r>
      <w:r w:rsidRPr="00335C90">
        <w:t xml:space="preserve"> тыс. рублей или </w:t>
      </w:r>
      <w:r w:rsidR="00D6142B">
        <w:t>86,1</w:t>
      </w:r>
      <w:r w:rsidR="00654E5D">
        <w:t xml:space="preserve"> </w:t>
      </w:r>
      <w:r w:rsidRPr="00335C90">
        <w:t>% уточненных плановых назначений.</w:t>
      </w:r>
    </w:p>
    <w:p w:rsidR="00BC378A" w:rsidRPr="00335C90" w:rsidRDefault="00B63828" w:rsidP="006735B5">
      <w:pPr>
        <w:spacing w:line="240" w:lineRule="auto"/>
      </w:pPr>
      <w:r>
        <w:t>В структуре н</w:t>
      </w:r>
      <w:r w:rsidR="00335C90" w:rsidRPr="00FF2A15">
        <w:t>епрограммны</w:t>
      </w:r>
      <w:r>
        <w:t>х</w:t>
      </w:r>
      <w:r w:rsidR="00335C90" w:rsidRPr="00FF2A15">
        <w:t xml:space="preserve"> расход</w:t>
      </w:r>
      <w:r>
        <w:t>ов</w:t>
      </w:r>
      <w:r w:rsidR="00335C90" w:rsidRPr="00FF2A15">
        <w:t xml:space="preserve"> </w:t>
      </w:r>
      <w:r>
        <w:t>объем средств, предусмотренных</w:t>
      </w:r>
      <w:r w:rsidR="00335C90" w:rsidRPr="00FF2A15">
        <w:t xml:space="preserve"> </w:t>
      </w:r>
      <w:r w:rsidR="00075398">
        <w:t xml:space="preserve">на обеспечение деятельности </w:t>
      </w:r>
      <w:r w:rsidR="00DF49D8" w:rsidRPr="00F305A1">
        <w:t>Дум</w:t>
      </w:r>
      <w:r w:rsidR="00075398">
        <w:t>ы</w:t>
      </w:r>
      <w:r w:rsidR="00DF49D8" w:rsidRPr="00F305A1">
        <w:t xml:space="preserve"> </w:t>
      </w:r>
      <w:r w:rsidR="00F305A1" w:rsidRPr="00F305A1">
        <w:t>ИГО</w:t>
      </w:r>
      <w:r w:rsidR="00DF49D8" w:rsidRPr="00F305A1">
        <w:t xml:space="preserve"> СК</w:t>
      </w:r>
      <w:r w:rsidR="00BC378A">
        <w:t>, составил</w:t>
      </w:r>
      <w:r w:rsidR="00335C90" w:rsidRPr="00FF2A15">
        <w:t xml:space="preserve"> </w:t>
      </w:r>
      <w:r w:rsidR="00627C7E">
        <w:t>11663,05</w:t>
      </w:r>
      <w:r w:rsidR="00335C90" w:rsidRPr="00FF2A15">
        <w:t xml:space="preserve"> тыс. рублей или </w:t>
      </w:r>
      <w:r w:rsidR="00627C7E">
        <w:t>28,5</w:t>
      </w:r>
      <w:r w:rsidR="00076673">
        <w:t xml:space="preserve"> </w:t>
      </w:r>
      <w:r w:rsidR="00335C90" w:rsidRPr="00FF2A15">
        <w:t>% всех непрограммных расходов.</w:t>
      </w:r>
      <w:r w:rsidR="00447E6F">
        <w:t xml:space="preserve"> </w:t>
      </w:r>
      <w:r w:rsidR="00BC378A">
        <w:t xml:space="preserve">Иные непрограммные расходы </w:t>
      </w:r>
      <w:r w:rsidR="00447E6F" w:rsidRPr="00447E6F">
        <w:t>на резервирование сре</w:t>
      </w:r>
      <w:proofErr w:type="gramStart"/>
      <w:r w:rsidR="00447E6F" w:rsidRPr="00447E6F">
        <w:t>дств дл</w:t>
      </w:r>
      <w:proofErr w:type="gramEnd"/>
      <w:r w:rsidR="00447E6F" w:rsidRPr="00447E6F">
        <w:t xml:space="preserve">я решения вопросов местного значения </w:t>
      </w:r>
      <w:r w:rsidR="00075398">
        <w:t>запланированы в сумме</w:t>
      </w:r>
      <w:r w:rsidR="005E7924">
        <w:t xml:space="preserve"> </w:t>
      </w:r>
      <w:r w:rsidR="00726A2D">
        <w:t>29270,51</w:t>
      </w:r>
      <w:r w:rsidR="005E7924">
        <w:t xml:space="preserve"> тыс. рублей или </w:t>
      </w:r>
      <w:r w:rsidR="00726A2D">
        <w:t>71,5</w:t>
      </w:r>
      <w:r w:rsidR="006273B1">
        <w:t xml:space="preserve"> %.</w:t>
      </w:r>
    </w:p>
    <w:p w:rsidR="004435AD" w:rsidRDefault="00335C90" w:rsidP="006735B5">
      <w:pPr>
        <w:spacing w:line="240" w:lineRule="auto"/>
      </w:pPr>
      <w:r w:rsidRPr="00335C90">
        <w:t xml:space="preserve">Фактическое исполнение </w:t>
      </w:r>
      <w:r w:rsidR="00FD0686">
        <w:t xml:space="preserve">расходов на обеспечение деятельности Думы ИГО СК сложилось в сумме </w:t>
      </w:r>
      <w:r w:rsidR="006518EE">
        <w:t>11583,72</w:t>
      </w:r>
      <w:r w:rsidR="00FD0686">
        <w:t xml:space="preserve"> тыс. рублей</w:t>
      </w:r>
      <w:r w:rsidR="00122959">
        <w:t xml:space="preserve"> или </w:t>
      </w:r>
      <w:r w:rsidR="006518EE">
        <w:t>99,3</w:t>
      </w:r>
      <w:r w:rsidR="00122959">
        <w:t xml:space="preserve"> % планового объема, остаток средств </w:t>
      </w:r>
      <w:r w:rsidR="00090966">
        <w:t>–</w:t>
      </w:r>
      <w:r w:rsidR="00E96462">
        <w:t xml:space="preserve"> </w:t>
      </w:r>
      <w:r w:rsidR="00090966">
        <w:t>79,33</w:t>
      </w:r>
      <w:r w:rsidR="00122959">
        <w:t xml:space="preserve"> тыс. рублей. </w:t>
      </w:r>
    </w:p>
    <w:p w:rsidR="00335C90" w:rsidRPr="00335C90" w:rsidRDefault="008E3A65" w:rsidP="006735B5">
      <w:pPr>
        <w:spacing w:line="240" w:lineRule="auto"/>
      </w:pPr>
      <w:proofErr w:type="gramStart"/>
      <w:r>
        <w:t>Иные</w:t>
      </w:r>
      <w:r w:rsidR="00335C90" w:rsidRPr="00335C90">
        <w:t xml:space="preserve"> </w:t>
      </w:r>
      <w:r w:rsidRPr="008E3A65">
        <w:t xml:space="preserve">непрограммные расходы </w:t>
      </w:r>
      <w:r w:rsidR="00335C90" w:rsidRPr="00335C90">
        <w:t>исполнены  в сумме</w:t>
      </w:r>
      <w:r w:rsidR="00322184">
        <w:t xml:space="preserve">  </w:t>
      </w:r>
      <w:r w:rsidR="00452557">
        <w:t>3480,22</w:t>
      </w:r>
      <w:r w:rsidR="006E58E7" w:rsidRPr="006E58E7">
        <w:t xml:space="preserve"> тыс. рублей или </w:t>
      </w:r>
      <w:r w:rsidR="00022463">
        <w:t>11,9</w:t>
      </w:r>
      <w:r w:rsidR="0054605B">
        <w:t xml:space="preserve"> </w:t>
      </w:r>
      <w:r w:rsidR="006E58E7" w:rsidRPr="006E58E7">
        <w:t>%</w:t>
      </w:r>
      <w:r w:rsidR="00022463">
        <w:t xml:space="preserve">. </w:t>
      </w:r>
      <w:r w:rsidR="00BE274C">
        <w:t xml:space="preserve">По </w:t>
      </w:r>
      <w:r w:rsidR="00447E6F">
        <w:t xml:space="preserve">непрограммным </w:t>
      </w:r>
      <w:r w:rsidR="00BE274C">
        <w:t>расходам</w:t>
      </w:r>
      <w:r w:rsidR="00994F31">
        <w:t>,</w:t>
      </w:r>
      <w:r w:rsidR="0054605B" w:rsidRPr="0054605B">
        <w:t xml:space="preserve"> предусмотренных на резервирование средств для решения вопросов местного значения, </w:t>
      </w:r>
      <w:r w:rsidR="00BE274C">
        <w:t xml:space="preserve"> </w:t>
      </w:r>
      <w:r w:rsidR="004C26C6" w:rsidRPr="004C26C6">
        <w:t>образование остатка неисполненных плановых назначений в сумме 25790,29 тыс. рублей</w:t>
      </w:r>
      <w:r w:rsidR="004C26C6">
        <w:t xml:space="preserve"> </w:t>
      </w:r>
      <w:r w:rsidR="00022463" w:rsidRPr="00022463">
        <w:t xml:space="preserve">в основном обусловлено: </w:t>
      </w:r>
      <w:r w:rsidR="005F66B3" w:rsidRPr="005F66B3">
        <w:t>образованием нераспределённого остатка бюджетных ассигнований</w:t>
      </w:r>
      <w:r w:rsidR="005F66B3">
        <w:t xml:space="preserve"> </w:t>
      </w:r>
      <w:r w:rsidR="006860C5">
        <w:t>резервного фонда</w:t>
      </w:r>
      <w:r w:rsidR="005F66B3">
        <w:t xml:space="preserve"> администрации</w:t>
      </w:r>
      <w:r w:rsidR="005F66B3" w:rsidRPr="005F66B3">
        <w:t xml:space="preserve"> </w:t>
      </w:r>
      <w:proofErr w:type="spellStart"/>
      <w:r w:rsidR="005F66B3" w:rsidRPr="005F66B3">
        <w:t>Ипатовского</w:t>
      </w:r>
      <w:proofErr w:type="spellEnd"/>
      <w:r w:rsidR="005F66B3" w:rsidRPr="005F66B3">
        <w:t xml:space="preserve"> городского округа Ставропольского края</w:t>
      </w:r>
      <w:r w:rsidR="006860C5">
        <w:t xml:space="preserve"> </w:t>
      </w:r>
      <w:r w:rsidR="001C5D43">
        <w:t xml:space="preserve">– </w:t>
      </w:r>
      <w:r w:rsidR="006860C5">
        <w:t>3000,0</w:t>
      </w:r>
      <w:r w:rsidR="001C5D43">
        <w:t xml:space="preserve"> тыс. рублей</w:t>
      </w:r>
      <w:r w:rsidR="00BC7817">
        <w:t xml:space="preserve"> и</w:t>
      </w:r>
      <w:r w:rsidR="00C83931" w:rsidRPr="00C83931">
        <w:t xml:space="preserve"> </w:t>
      </w:r>
      <w:r w:rsidR="006949C6">
        <w:t>р</w:t>
      </w:r>
      <w:r w:rsidR="006949C6" w:rsidRPr="006949C6">
        <w:t>асход</w:t>
      </w:r>
      <w:r w:rsidR="006949C6">
        <w:t>ов</w:t>
      </w:r>
      <w:r w:rsidR="006949C6" w:rsidRPr="006949C6">
        <w:t xml:space="preserve"> на индексацию коммунальных услуг</w:t>
      </w:r>
      <w:r w:rsidR="00C83931">
        <w:t xml:space="preserve"> </w:t>
      </w:r>
      <w:r w:rsidR="00BC7817">
        <w:t>– 22756,19 тыс</w:t>
      </w:r>
      <w:proofErr w:type="gramEnd"/>
      <w:r w:rsidR="00BC7817">
        <w:t>. рублей</w:t>
      </w:r>
      <w:r w:rsidR="00335C90" w:rsidRPr="00335C90">
        <w:t>.</w:t>
      </w:r>
    </w:p>
    <w:p w:rsidR="00335C90" w:rsidRPr="00335C90" w:rsidRDefault="00335C90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Оценка дефицита (профицита) бюджета </w:t>
      </w:r>
      <w:proofErr w:type="spellStart"/>
      <w:r w:rsidR="00436257">
        <w:rPr>
          <w:b/>
          <w:bCs/>
        </w:rPr>
        <w:t>Ипатовского</w:t>
      </w:r>
      <w:proofErr w:type="spellEnd"/>
      <w:r w:rsidR="00436257">
        <w:rPr>
          <w:b/>
          <w:bCs/>
        </w:rPr>
        <w:t xml:space="preserve">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436257" w:rsidP="006735B5">
      <w:pPr>
        <w:spacing w:line="240" w:lineRule="auto"/>
      </w:pPr>
      <w:r>
        <w:t>Решением</w:t>
      </w:r>
      <w:r w:rsidR="00335C90" w:rsidRPr="00335C90">
        <w:t xml:space="preserve"> о </w:t>
      </w:r>
      <w:r>
        <w:t>местном</w:t>
      </w:r>
      <w:r w:rsidR="00335C90" w:rsidRPr="00335C90">
        <w:t xml:space="preserve"> бюджете уточненный объем дефицита бюджета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20</w:t>
      </w:r>
      <w:r w:rsidR="00BA0B51">
        <w:t>20</w:t>
      </w:r>
      <w:r w:rsidR="00335C90" w:rsidRPr="00335C90">
        <w:t xml:space="preserve"> год утвержден в сумме </w:t>
      </w:r>
      <w:r w:rsidR="007E02C0">
        <w:t>151769,10</w:t>
      </w:r>
      <w:r w:rsidR="004509B7">
        <w:t xml:space="preserve"> </w:t>
      </w:r>
      <w:r w:rsidR="00335C90"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 xml:space="preserve">Согласно приложению 4 «Источники финансирования дефицита </w:t>
      </w:r>
      <w:r w:rsidR="003C4F37">
        <w:t>местного</w:t>
      </w:r>
      <w:r w:rsidRPr="00335C90">
        <w:t xml:space="preserve"> бюджета по кодам классификации источников финансирования дефицитов бюджетов за 20</w:t>
      </w:r>
      <w:r w:rsidR="007E02C0">
        <w:t>20</w:t>
      </w:r>
      <w:r w:rsidRPr="00335C90">
        <w:t xml:space="preserve"> год» к проекту</w:t>
      </w:r>
      <w:r w:rsidR="003C4F37">
        <w:t xml:space="preserve"> решения</w:t>
      </w:r>
      <w:r w:rsidRPr="00335C90">
        <w:t xml:space="preserve">, источники финансирования дефицита </w:t>
      </w:r>
      <w:r w:rsidR="003C4F37">
        <w:t>местного</w:t>
      </w:r>
      <w:r w:rsidRPr="00335C90">
        <w:t xml:space="preserve"> бюджета по кодам групп, подгрупп, статей и видов источников финансирования дефицитов бюджетов по составу и структуре соответствуют приложению 1, утвержденному </w:t>
      </w:r>
      <w:r w:rsidR="00F50B93">
        <w:t>решением о бюджете</w:t>
      </w:r>
      <w:r w:rsidRPr="00335C90">
        <w:t xml:space="preserve"> №</w:t>
      </w:r>
      <w:r w:rsidR="00322184">
        <w:t xml:space="preserve"> </w:t>
      </w:r>
      <w:r w:rsidR="00D3347E">
        <w:t>1</w:t>
      </w:r>
      <w:r w:rsidR="007E02C0">
        <w:t>51</w:t>
      </w:r>
      <w:r w:rsidRPr="00335C90">
        <w:t xml:space="preserve"> (ред. от </w:t>
      </w:r>
      <w:r w:rsidR="007E02C0">
        <w:t>15</w:t>
      </w:r>
      <w:r w:rsidRPr="00335C90">
        <w:t>.12.20</w:t>
      </w:r>
      <w:r w:rsidR="007E02C0">
        <w:t>20</w:t>
      </w:r>
      <w:r w:rsidR="005F4091">
        <w:t xml:space="preserve"> г.</w:t>
      </w:r>
      <w:r w:rsidRPr="00335C90">
        <w:t>).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>По итогам 20</w:t>
      </w:r>
      <w:r w:rsidR="007E02C0">
        <w:t>20</w:t>
      </w:r>
      <w:r w:rsidRPr="00335C90">
        <w:t xml:space="preserve"> года бюджет </w:t>
      </w:r>
      <w:proofErr w:type="spellStart"/>
      <w:r w:rsidR="002C54AD">
        <w:t>Ипатовского</w:t>
      </w:r>
      <w:proofErr w:type="spellEnd"/>
      <w:r w:rsidR="002C54AD">
        <w:t xml:space="preserve"> городского округа </w:t>
      </w:r>
      <w:r w:rsidRPr="00335C90">
        <w:t xml:space="preserve">Ставропольского края исполнен с </w:t>
      </w:r>
      <w:r w:rsidR="00225860">
        <w:t>де</w:t>
      </w:r>
      <w:r w:rsidRPr="00335C90">
        <w:t xml:space="preserve">фицитом, размер которого составил </w:t>
      </w:r>
      <w:r w:rsidR="00225860">
        <w:t>37321,54</w:t>
      </w:r>
      <w:r w:rsidRPr="00335C90">
        <w:t xml:space="preserve"> тыс. рублей. </w:t>
      </w:r>
      <w:r w:rsidR="00D45188">
        <w:t>Де</w:t>
      </w:r>
      <w:r w:rsidRPr="00335C90">
        <w:t xml:space="preserve">фицит бюджета обусловлен </w:t>
      </w:r>
      <w:r w:rsidR="00D45188">
        <w:t>н</w:t>
      </w:r>
      <w:r w:rsidRPr="00335C90">
        <w:t xml:space="preserve">евыполнением плановых назначений по доходам (доходная часть исполнена на </w:t>
      </w:r>
      <w:r w:rsidR="00D45188">
        <w:t>98,7</w:t>
      </w:r>
      <w:r w:rsidRPr="00335C90">
        <w:t xml:space="preserve">%), с одновременным невыполнением плановых бюджетных назначений по расходам </w:t>
      </w:r>
      <w:r w:rsidR="002456FE">
        <w:t>местного</w:t>
      </w:r>
      <w:r w:rsidRPr="00335C90">
        <w:t xml:space="preserve"> бюджета (расходная часть бюджета исполнена на </w:t>
      </w:r>
      <w:r w:rsidR="00F2507A">
        <w:t>93,</w:t>
      </w:r>
      <w:r w:rsidR="007E3950">
        <w:t>5</w:t>
      </w:r>
      <w:r w:rsidRPr="00335C90">
        <w:t xml:space="preserve">% к показателям бюджетной росписи расходов бюджета </w:t>
      </w:r>
      <w:proofErr w:type="spellStart"/>
      <w:r w:rsidR="002456FE" w:rsidRPr="002456FE">
        <w:t>Ипатовского</w:t>
      </w:r>
      <w:proofErr w:type="spellEnd"/>
      <w:r w:rsidR="002456FE" w:rsidRPr="002456FE">
        <w:t xml:space="preserve"> городского округа </w:t>
      </w:r>
      <w:r w:rsidRPr="00335C90">
        <w:t>Ставропольского края).</w:t>
      </w:r>
    </w:p>
    <w:p w:rsidR="00335C90" w:rsidRPr="00335C90" w:rsidRDefault="00335C90" w:rsidP="006735B5">
      <w:pPr>
        <w:spacing w:line="240" w:lineRule="auto"/>
      </w:pPr>
      <w:r w:rsidRPr="00335C90">
        <w:t xml:space="preserve">Фактическое исполнение источников внутреннего финансирования дефицита </w:t>
      </w:r>
      <w:r w:rsidR="00F0330A">
        <w:t>местного</w:t>
      </w:r>
      <w:r w:rsidRPr="00335C90">
        <w:t xml:space="preserve"> бюджета сложилось следующим образом:</w:t>
      </w:r>
    </w:p>
    <w:p w:rsidR="00335C90" w:rsidRDefault="00335C90" w:rsidP="006735B5">
      <w:pPr>
        <w:spacing w:line="240" w:lineRule="auto"/>
      </w:pPr>
      <w:r w:rsidRPr="00335C90">
        <w:lastRenderedPageBreak/>
        <w:t xml:space="preserve">- изменение остатков средств по учету средств бюджетов – </w:t>
      </w:r>
      <w:r w:rsidR="00EE5990">
        <w:t xml:space="preserve">                               </w:t>
      </w:r>
      <w:r w:rsidR="007E3950">
        <w:t>37321,54</w:t>
      </w:r>
      <w:r w:rsidR="0043368A">
        <w:t xml:space="preserve"> тыс. рублей.</w:t>
      </w:r>
    </w:p>
    <w:p w:rsidR="0043368A" w:rsidRPr="00335C90" w:rsidRDefault="0043368A" w:rsidP="006735B5">
      <w:pPr>
        <w:spacing w:line="240" w:lineRule="auto"/>
      </w:pPr>
    </w:p>
    <w:p w:rsidR="002D4B10" w:rsidRDefault="002D4B10" w:rsidP="006735B5">
      <w:pPr>
        <w:spacing w:line="240" w:lineRule="auto"/>
        <w:rPr>
          <w:b/>
        </w:rPr>
      </w:pPr>
      <w:r w:rsidRPr="002D4B10">
        <w:rPr>
          <w:b/>
        </w:rPr>
        <w:t xml:space="preserve">Использование средств резервного фонда администрации </w:t>
      </w:r>
      <w:proofErr w:type="spellStart"/>
      <w:r w:rsidRPr="002D4B10">
        <w:rPr>
          <w:b/>
        </w:rPr>
        <w:t>Ипатовского</w:t>
      </w:r>
      <w:proofErr w:type="spellEnd"/>
      <w:r w:rsidRPr="002D4B10">
        <w:rPr>
          <w:b/>
        </w:rPr>
        <w:t xml:space="preserve"> </w:t>
      </w:r>
      <w:r>
        <w:rPr>
          <w:b/>
        </w:rPr>
        <w:t>городского округа</w:t>
      </w:r>
      <w:r w:rsidRPr="002D4B10">
        <w:rPr>
          <w:b/>
        </w:rPr>
        <w:t xml:space="preserve"> Ставропольского края</w:t>
      </w:r>
    </w:p>
    <w:p w:rsidR="002D4B10" w:rsidRDefault="00143409" w:rsidP="0066687D">
      <w:pPr>
        <w:spacing w:line="240" w:lineRule="auto"/>
      </w:pPr>
      <w:r w:rsidRPr="00143409">
        <w:t xml:space="preserve">В соответствии со статьей 81 БК РФ в расходной части </w:t>
      </w:r>
      <w:r w:rsidR="0066687D">
        <w:t>местног</w:t>
      </w:r>
      <w:r w:rsidRPr="00143409">
        <w:t xml:space="preserve">о бюджета предусмотрено создание резервного фонда органов </w:t>
      </w:r>
      <w:r w:rsidR="00664C34">
        <w:t>местной администрации</w:t>
      </w:r>
      <w:r w:rsidRPr="00143409">
        <w:t xml:space="preserve"> – резервного фонда </w:t>
      </w:r>
      <w:r w:rsidR="0066687D" w:rsidRPr="0066687D">
        <w:t xml:space="preserve">администрации </w:t>
      </w:r>
      <w:proofErr w:type="spellStart"/>
      <w:r w:rsidR="0066687D" w:rsidRPr="0066687D">
        <w:t>Ипатовского</w:t>
      </w:r>
      <w:proofErr w:type="spellEnd"/>
      <w:r w:rsidR="0066687D" w:rsidRPr="0066687D">
        <w:t xml:space="preserve"> городского округа Ставропольского края </w:t>
      </w:r>
      <w:r w:rsidRPr="00143409">
        <w:t>(далее – резервный фонд). По итогам 20</w:t>
      </w:r>
      <w:r w:rsidR="0066687D">
        <w:t>20</w:t>
      </w:r>
      <w:r w:rsidRPr="00143409">
        <w:t xml:space="preserve"> года размер резервного фонда составил </w:t>
      </w:r>
      <w:r w:rsidR="0066687D">
        <w:t>3000,00</w:t>
      </w:r>
      <w:r w:rsidRPr="00143409">
        <w:t xml:space="preserve"> тыс. рублей, что соответствует требованиям части 3 статьи 81 БК РФ.</w:t>
      </w:r>
      <w:r w:rsidR="0066687D">
        <w:t xml:space="preserve"> </w:t>
      </w:r>
      <w:r w:rsidR="002D4B10" w:rsidRPr="002D4B10">
        <w:t>Фактический расход в текущем году не производился.</w:t>
      </w:r>
    </w:p>
    <w:p w:rsidR="0043368A" w:rsidRPr="002D4B10" w:rsidRDefault="0043368A" w:rsidP="006735B5">
      <w:pPr>
        <w:spacing w:line="240" w:lineRule="auto"/>
      </w:pPr>
    </w:p>
    <w:p w:rsidR="002D4B10" w:rsidRPr="002D4B10" w:rsidRDefault="002D4B10" w:rsidP="006735B5">
      <w:pPr>
        <w:spacing w:line="240" w:lineRule="auto"/>
        <w:rPr>
          <w:b/>
          <w:bCs/>
        </w:rPr>
      </w:pPr>
      <w:r w:rsidRPr="002D4B10">
        <w:rPr>
          <w:b/>
          <w:bCs/>
        </w:rPr>
        <w:t xml:space="preserve">Анализ муниципального долга </w:t>
      </w:r>
      <w:proofErr w:type="spellStart"/>
      <w:r w:rsidRPr="002D4B10">
        <w:rPr>
          <w:b/>
          <w:bCs/>
        </w:rPr>
        <w:t>Ипатовского</w:t>
      </w:r>
      <w:proofErr w:type="spellEnd"/>
      <w:r w:rsidRPr="002D4B10">
        <w:rPr>
          <w:b/>
          <w:bCs/>
        </w:rPr>
        <w:t xml:space="preserve"> </w:t>
      </w:r>
      <w:r w:rsidR="00312EF1" w:rsidRPr="00312EF1">
        <w:rPr>
          <w:b/>
          <w:bCs/>
        </w:rPr>
        <w:t xml:space="preserve">городского округа </w:t>
      </w:r>
      <w:r w:rsidRPr="002D4B10">
        <w:rPr>
          <w:b/>
          <w:bCs/>
        </w:rPr>
        <w:t>Ставропольского края</w:t>
      </w:r>
    </w:p>
    <w:p w:rsidR="002D4B10" w:rsidRDefault="002D4B10" w:rsidP="006735B5">
      <w:pPr>
        <w:spacing w:line="240" w:lineRule="auto"/>
        <w:rPr>
          <w:bCs/>
        </w:rPr>
      </w:pPr>
      <w:proofErr w:type="gramStart"/>
      <w:r w:rsidRPr="002D4B10">
        <w:rPr>
          <w:bCs/>
        </w:rPr>
        <w:t xml:space="preserve">В отчетном финансовом году, как и в предшествующем, в ходе исполнения </w:t>
      </w:r>
      <w:r w:rsidR="00312EF1">
        <w:rPr>
          <w:bCs/>
        </w:rPr>
        <w:t>местного</w:t>
      </w:r>
      <w:r w:rsidRPr="002D4B10">
        <w:rPr>
          <w:bCs/>
        </w:rPr>
        <w:t xml:space="preserve"> бюджета привлечение заемных средств в виде бюджетных кредитов и/или кредитов кредитных организаций не осуществлялось, муниципальные гарантии не предоставлялись.</w:t>
      </w:r>
      <w:proofErr w:type="gramEnd"/>
    </w:p>
    <w:p w:rsidR="0043368A" w:rsidRPr="002D4B10" w:rsidRDefault="0043368A" w:rsidP="006735B5">
      <w:pPr>
        <w:spacing w:line="240" w:lineRule="auto"/>
        <w:rPr>
          <w:b/>
          <w:bCs/>
        </w:rPr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бюджетной отчетности исполнения бюджета </w:t>
      </w:r>
      <w:proofErr w:type="spellStart"/>
      <w:r w:rsidR="00CF2134">
        <w:rPr>
          <w:b/>
          <w:bCs/>
        </w:rPr>
        <w:t>Ипатовского</w:t>
      </w:r>
      <w:proofErr w:type="spellEnd"/>
      <w:r w:rsidR="00CF2134">
        <w:rPr>
          <w:b/>
          <w:bCs/>
        </w:rPr>
        <w:t xml:space="preserve"> городского округа </w:t>
      </w:r>
      <w:r w:rsidRPr="00335C90">
        <w:rPr>
          <w:b/>
          <w:bCs/>
        </w:rPr>
        <w:t>Ставропольского края</w:t>
      </w:r>
    </w:p>
    <w:p w:rsidR="00335C90" w:rsidRPr="00335C90" w:rsidRDefault="00335C90" w:rsidP="006735B5">
      <w:pPr>
        <w:spacing w:line="240" w:lineRule="auto"/>
      </w:pPr>
      <w:r w:rsidRPr="00335C90">
        <w:t>В соответствии с пунктом 3 статьи 264.1 БК РФ бюджетная отчетность включает в себя отчет об исполнении бюджета (форма 0503117), баланс исполнения бюджета (форма 0503120), отчет о финансовых результатах деятельности (форма 0503121), отчет о движении денежных средств (форма 0503123), пояснительную записку (форма 0503160).</w:t>
      </w:r>
    </w:p>
    <w:p w:rsidR="00335C90" w:rsidRPr="00335C90" w:rsidRDefault="00335C90" w:rsidP="006735B5">
      <w:pPr>
        <w:spacing w:line="240" w:lineRule="auto"/>
      </w:pPr>
      <w:r w:rsidRPr="00335C90">
        <w:t xml:space="preserve">Согласно пункту 133 Инструкции № 191н отчет об исполнении бюджета </w:t>
      </w:r>
      <w:proofErr w:type="spellStart"/>
      <w:r w:rsidR="006D4CB1">
        <w:t>Ипатовского</w:t>
      </w:r>
      <w:proofErr w:type="spellEnd"/>
      <w:r w:rsidR="006D4CB1">
        <w:t xml:space="preserve"> городского округа </w:t>
      </w:r>
      <w:r w:rsidRPr="00335C90">
        <w:t xml:space="preserve">Ставропольского края составлен финансовым органом на основании данных по исполнению бюджета консолидированных Отчетов </w:t>
      </w:r>
      <w:hyperlink r:id="rId7" w:history="1">
        <w:r w:rsidRPr="00FB1CD3">
          <w:rPr>
            <w:rStyle w:val="a5"/>
            <w:color w:val="auto"/>
            <w:u w:val="none"/>
          </w:rPr>
          <w:t>(форма 0503127)</w:t>
        </w:r>
      </w:hyperlink>
      <w:r w:rsidRPr="00335C90">
        <w:t xml:space="preserve"> и Справок </w:t>
      </w:r>
      <w:hyperlink r:id="rId8" w:history="1">
        <w:r w:rsidRPr="00FB1CD3">
          <w:rPr>
            <w:rStyle w:val="a5"/>
            <w:color w:val="auto"/>
            <w:u w:val="none"/>
          </w:rPr>
          <w:t>(форма 0503184)</w:t>
        </w:r>
      </w:hyperlink>
      <w:r w:rsidRPr="00335C90">
        <w:t xml:space="preserve"> ГРБС, ГАИФДБ, представленных на отчетную дату, и консолидированного отчета о кассовом поступлении и выбытии бюджетных средств (форма 0503124).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>Объем утвержденных бюджетных назначений в отчете об исполнении бюджета по разделам «Доходы» и «Источники финансирования дефицита бюджета» соответствует сумме плановых поступлений аналоги</w:t>
      </w:r>
      <w:r w:rsidR="0013251B">
        <w:t>чных показателей, утвержденных решением</w:t>
      </w:r>
      <w:r w:rsidRPr="00335C90">
        <w:t xml:space="preserve"> о </w:t>
      </w:r>
      <w:r w:rsidR="0013251B">
        <w:t xml:space="preserve">местном </w:t>
      </w:r>
      <w:r w:rsidRPr="00335C90">
        <w:t xml:space="preserve"> бюджете </w:t>
      </w:r>
      <w:r w:rsidR="00C53DED">
        <w:t xml:space="preserve">               </w:t>
      </w:r>
      <w:r w:rsidRPr="00335C90">
        <w:t>(</w:t>
      </w:r>
      <w:r w:rsidR="0006383C">
        <w:t>1940512,14</w:t>
      </w:r>
      <w:r w:rsidR="001D63E6">
        <w:t xml:space="preserve"> </w:t>
      </w:r>
      <w:r w:rsidRPr="00335C90">
        <w:t xml:space="preserve"> тыс. рублей и </w:t>
      </w:r>
      <w:r w:rsidR="0008313A">
        <w:t xml:space="preserve"> </w:t>
      </w:r>
      <w:r w:rsidR="00F904A4" w:rsidRPr="00F904A4">
        <w:t>151769</w:t>
      </w:r>
      <w:r w:rsidR="00F904A4">
        <w:t>,</w:t>
      </w:r>
      <w:r w:rsidR="00F904A4" w:rsidRPr="00F904A4">
        <w:t>1</w:t>
      </w:r>
      <w:r w:rsidR="00F904A4">
        <w:t>0</w:t>
      </w:r>
      <w:r w:rsidR="00F904A4" w:rsidRPr="00F904A4">
        <w:t xml:space="preserve"> </w:t>
      </w:r>
      <w:r w:rsidRPr="00335C90">
        <w:t>тыс. рублей соответственно), а по разделу «Расходы» соответствует сумме аналогичных показателей, утвержденных в соответствии со сводной бюджетной росписью расходов, с учетом последующих изменений по состоянию на 01.01.20</w:t>
      </w:r>
      <w:r w:rsidR="000D00C7">
        <w:t>2</w:t>
      </w:r>
      <w:r w:rsidR="00EA4BE0">
        <w:t>1</w:t>
      </w:r>
      <w:proofErr w:type="gramEnd"/>
      <w:r w:rsidR="009248B4">
        <w:t xml:space="preserve"> года </w:t>
      </w:r>
      <w:r w:rsidR="00C53DED">
        <w:t xml:space="preserve">                </w:t>
      </w:r>
      <w:r w:rsidRPr="00335C90">
        <w:t xml:space="preserve"> (</w:t>
      </w:r>
      <w:r w:rsidR="00F904A4">
        <w:t>2089552,97</w:t>
      </w:r>
      <w:r w:rsidRPr="00335C90">
        <w:t xml:space="preserve"> тыс. рублей).</w:t>
      </w:r>
    </w:p>
    <w:p w:rsidR="00335C90" w:rsidRDefault="00335C90" w:rsidP="006735B5">
      <w:pPr>
        <w:spacing w:line="240" w:lineRule="auto"/>
      </w:pPr>
      <w:r w:rsidRPr="00335C90">
        <w:t>Показатели баланса исполнения бюджета</w:t>
      </w:r>
      <w:r w:rsidR="00240A56">
        <w:t xml:space="preserve"> </w:t>
      </w:r>
      <w:proofErr w:type="spellStart"/>
      <w:r w:rsidR="00240A56">
        <w:t>Ипатовского</w:t>
      </w:r>
      <w:proofErr w:type="spellEnd"/>
      <w:r w:rsidR="00240A56">
        <w:t xml:space="preserve"> городского округа</w:t>
      </w:r>
      <w:r w:rsidRPr="00335C90">
        <w:t xml:space="preserve"> Ставропольского края (форма 0503120) сформированы в соответствии с правилами пункта 110 Инструкции №</w:t>
      </w:r>
      <w:r w:rsidR="00684308">
        <w:t xml:space="preserve"> </w:t>
      </w:r>
      <w:r w:rsidRPr="00335C90">
        <w:t xml:space="preserve">191н в разрезе бюджетной деятельности, </w:t>
      </w:r>
      <w:r w:rsidRPr="00335C90">
        <w:lastRenderedPageBreak/>
        <w:t>средств во временном распоряжении и итогового показателя на начало года и конец отчетного периода, соответственно.</w:t>
      </w:r>
    </w:p>
    <w:p w:rsidR="00480223" w:rsidRDefault="00B60BFF" w:rsidP="006735B5">
      <w:pPr>
        <w:spacing w:line="240" w:lineRule="auto"/>
      </w:pPr>
      <w:r>
        <w:t xml:space="preserve">Изменение </w:t>
      </w:r>
      <w:proofErr w:type="gramStart"/>
      <w:r>
        <w:t xml:space="preserve">части показателей вступительного баланса  исполнения </w:t>
      </w:r>
      <w:r w:rsidR="00EF3976" w:rsidRPr="00EF3976">
        <w:t>бюджета</w:t>
      </w:r>
      <w:proofErr w:type="gramEnd"/>
      <w:r w:rsidR="00EF3976" w:rsidRPr="00EF3976">
        <w:t xml:space="preserve"> </w:t>
      </w:r>
      <w:proofErr w:type="spellStart"/>
      <w:r w:rsidR="00EF3976" w:rsidRPr="00EF3976">
        <w:t>Ипатовского</w:t>
      </w:r>
      <w:proofErr w:type="spellEnd"/>
      <w:r w:rsidR="00EF3976" w:rsidRPr="00EF3976">
        <w:t xml:space="preserve"> городского округа Ставропольского края</w:t>
      </w:r>
      <w:r>
        <w:t xml:space="preserve"> в отчетном периоде обусловлено</w:t>
      </w:r>
      <w:r w:rsidR="00480223">
        <w:t xml:space="preserve"> исправлением ошибок прошлых лет</w:t>
      </w:r>
      <w:r w:rsidR="00826D44">
        <w:t xml:space="preserve">, </w:t>
      </w:r>
      <w:r w:rsidR="009F7B65" w:rsidRPr="009F7B65">
        <w:t>применени</w:t>
      </w:r>
      <w:r w:rsidR="009F7B65">
        <w:t>ем</w:t>
      </w:r>
      <w:r w:rsidR="009F7B65" w:rsidRPr="009F7B65">
        <w:t xml:space="preserve"> федерального стандарта бухгалтерского учета для организаций государственного сектора </w:t>
      </w:r>
      <w:r w:rsidR="009F7B65">
        <w:t>«</w:t>
      </w:r>
      <w:r w:rsidR="009F7B65" w:rsidRPr="009F7B65">
        <w:t>Запасы</w:t>
      </w:r>
      <w:r w:rsidR="009F7B65">
        <w:t>»</w:t>
      </w:r>
      <w:r w:rsidR="009F7B65" w:rsidRPr="009F7B65">
        <w:t>, утвержденного приказом Министерства финансов Российской Федерации от 07</w:t>
      </w:r>
      <w:r w:rsidR="0059535F">
        <w:t>.12.</w:t>
      </w:r>
      <w:r w:rsidR="009F7B65" w:rsidRPr="009F7B65">
        <w:t>2018</w:t>
      </w:r>
      <w:r w:rsidR="0059535F">
        <w:t xml:space="preserve"> </w:t>
      </w:r>
      <w:r w:rsidR="009F7B65" w:rsidRPr="009F7B65">
        <w:t>г.</w:t>
      </w:r>
    </w:p>
    <w:p w:rsidR="00C20161" w:rsidRPr="00335C90" w:rsidRDefault="00C20161" w:rsidP="006735B5">
      <w:pPr>
        <w:spacing w:line="240" w:lineRule="auto"/>
      </w:pPr>
      <w:r>
        <w:t>Обобщенные за отчетный период данные об изменении показателей баланса</w:t>
      </w:r>
      <w:r w:rsidRPr="00C20161">
        <w:t xml:space="preserve"> исполнения бюджета </w:t>
      </w:r>
      <w:proofErr w:type="spellStart"/>
      <w:r w:rsidRPr="00C20161">
        <w:t>Ипатовского</w:t>
      </w:r>
      <w:proofErr w:type="spellEnd"/>
      <w:r w:rsidRPr="00C20161">
        <w:t xml:space="preserve"> городского округа Ставропольского края</w:t>
      </w:r>
      <w:r>
        <w:t xml:space="preserve"> отражены в соответствующих разделах</w:t>
      </w:r>
      <w:r w:rsidR="000E734D">
        <w:t xml:space="preserve"> Сведений об изменении остатков валюты баланса (форма 0503173).</w:t>
      </w:r>
      <w:r>
        <w:t xml:space="preserve"> </w:t>
      </w:r>
    </w:p>
    <w:p w:rsidR="00335C90" w:rsidRPr="00335C90" w:rsidRDefault="00335C90" w:rsidP="006735B5">
      <w:pPr>
        <w:spacing w:line="240" w:lineRule="auto"/>
      </w:pPr>
      <w:r w:rsidRPr="00335C90">
        <w:t xml:space="preserve">Анализ бюджетной отчетности исполнения бюджета </w:t>
      </w:r>
      <w:proofErr w:type="spellStart"/>
      <w:r w:rsidR="00623600" w:rsidRPr="00623600">
        <w:t>Ипатовского</w:t>
      </w:r>
      <w:proofErr w:type="spellEnd"/>
      <w:r w:rsidR="00623600" w:rsidRPr="00623600">
        <w:t xml:space="preserve"> городского округа </w:t>
      </w:r>
      <w:r w:rsidRPr="00335C90">
        <w:t>Ставропольского края показал, что стоимость нефинансовых активов</w:t>
      </w:r>
      <w:r w:rsidR="00304579">
        <w:t xml:space="preserve"> имущества казны</w:t>
      </w:r>
      <w:r w:rsidRPr="00335C90">
        <w:t xml:space="preserve"> по сравнению с началом 20</w:t>
      </w:r>
      <w:r w:rsidR="005902C8">
        <w:t>20</w:t>
      </w:r>
      <w:r w:rsidRPr="00335C90">
        <w:t xml:space="preserve"> года </w:t>
      </w:r>
      <w:r w:rsidR="006F3BD5">
        <w:t>уменьшилась</w:t>
      </w:r>
      <w:r w:rsidRPr="00335C90">
        <w:t xml:space="preserve"> на </w:t>
      </w:r>
      <w:r w:rsidR="009248B4">
        <w:t xml:space="preserve">           </w:t>
      </w:r>
      <w:r w:rsidR="005902C8">
        <w:t>14122,18</w:t>
      </w:r>
      <w:r w:rsidRPr="00335C90">
        <w:t xml:space="preserve"> тыс. рублей и на конец года сложилась в сумме </w:t>
      </w:r>
      <w:r w:rsidR="00C53DED">
        <w:t xml:space="preserve">                     </w:t>
      </w:r>
      <w:r w:rsidR="005902C8">
        <w:t>1472319,60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>Сумма денежных сре</w:t>
      </w:r>
      <w:proofErr w:type="gramStart"/>
      <w:r w:rsidRPr="00335C90">
        <w:t xml:space="preserve">дств </w:t>
      </w:r>
      <w:r w:rsidR="00C15472">
        <w:t>в к</w:t>
      </w:r>
      <w:proofErr w:type="gramEnd"/>
      <w:r w:rsidR="00C15472">
        <w:t>ассе</w:t>
      </w:r>
      <w:r w:rsidRPr="00335C90">
        <w:t xml:space="preserve"> учреждени</w:t>
      </w:r>
      <w:r w:rsidR="009248B4">
        <w:t>й</w:t>
      </w:r>
      <w:r w:rsidRPr="00335C90">
        <w:t xml:space="preserve"> относительно предшествующего года </w:t>
      </w:r>
      <w:r w:rsidR="00940A25">
        <w:t>увеличилась</w:t>
      </w:r>
      <w:r w:rsidRPr="00335C90">
        <w:t xml:space="preserve"> на </w:t>
      </w:r>
      <w:r w:rsidR="005902C8">
        <w:t>1,15</w:t>
      </w:r>
      <w:r w:rsidRPr="00335C90">
        <w:t xml:space="preserve"> тыс. рублей и составила </w:t>
      </w:r>
      <w:r w:rsidR="00C53DED">
        <w:t xml:space="preserve">           </w:t>
      </w:r>
      <w:r w:rsidR="005902C8">
        <w:t>12</w:t>
      </w:r>
      <w:r w:rsidR="001F0635">
        <w:t>,</w:t>
      </w:r>
      <w:r w:rsidR="005902C8">
        <w:t>30</w:t>
      </w:r>
      <w:r w:rsidRPr="00335C90">
        <w:t xml:space="preserve"> тыс. рублей. Весь объем денежных средств учреждений приходится </w:t>
      </w:r>
      <w:r w:rsidRPr="0021088E">
        <w:t>на принятые к бюджетному учету денежные документы</w:t>
      </w:r>
      <w:r w:rsidR="005E6104">
        <w:t xml:space="preserve"> (</w:t>
      </w:r>
      <w:r w:rsidR="005E6104" w:rsidRPr="005E6104">
        <w:t>приобретение маркированных конвертов)</w:t>
      </w:r>
      <w:r w:rsidRPr="0021088E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отчетном периоде сумма денежных средств на счетах бюджета в органе Федерального казначейства относительно начала финансового года </w:t>
      </w:r>
      <w:r w:rsidR="000D0DA3">
        <w:t>уменьшилась</w:t>
      </w:r>
      <w:r w:rsidRPr="00335C90">
        <w:t xml:space="preserve"> на </w:t>
      </w:r>
      <w:r w:rsidR="008D35C2">
        <w:t>37972,73</w:t>
      </w:r>
      <w:r w:rsidR="00165DF1">
        <w:t xml:space="preserve"> </w:t>
      </w:r>
      <w:r w:rsidRPr="00335C90">
        <w:t xml:space="preserve"> тыс. рублей и на конец отчетного периода сложилась в сумме </w:t>
      </w:r>
      <w:r w:rsidR="009248B4">
        <w:t xml:space="preserve">  </w:t>
      </w:r>
      <w:r w:rsidR="008D35C2">
        <w:t>142319,92</w:t>
      </w:r>
      <w:r w:rsidRPr="00335C90">
        <w:t xml:space="preserve"> тыс. рублей, в том числе: </w:t>
      </w:r>
      <w:r w:rsidR="008D35C2">
        <w:t>141568,69</w:t>
      </w:r>
      <w:r w:rsidRPr="00335C90">
        <w:t xml:space="preserve"> тыс. рублей – средства бюджета, </w:t>
      </w:r>
      <w:r w:rsidR="008D35C2">
        <w:t>751,23</w:t>
      </w:r>
      <w:r w:rsidRPr="00335C90">
        <w:t xml:space="preserve"> тыс. рублей – средства, полученные во временное распоряжение.</w:t>
      </w:r>
    </w:p>
    <w:p w:rsidR="00335C90" w:rsidRDefault="00335C90" w:rsidP="006735B5">
      <w:pPr>
        <w:spacing w:line="240" w:lineRule="auto"/>
      </w:pPr>
      <w:r w:rsidRPr="00335C90">
        <w:t xml:space="preserve">В анализируемом периоде объем финансовых вложений увеличился по сравнению с аналогичным показателем на начало отчетного периода на </w:t>
      </w:r>
      <w:r w:rsidR="009248B4">
        <w:t xml:space="preserve">        </w:t>
      </w:r>
      <w:r w:rsidR="005D0A2F">
        <w:t>98846,66</w:t>
      </w:r>
      <w:r w:rsidRPr="00335C90">
        <w:t xml:space="preserve"> тыс. рублей или на </w:t>
      </w:r>
      <w:r w:rsidR="005D0A2F">
        <w:t>13,6</w:t>
      </w:r>
      <w:r w:rsidRPr="00335C90">
        <w:t xml:space="preserve">% и составил </w:t>
      </w:r>
      <w:r w:rsidR="005D0A2F">
        <w:t>827468,64</w:t>
      </w:r>
      <w:r w:rsidRPr="00335C90">
        <w:t xml:space="preserve"> тыс. рублей.</w:t>
      </w:r>
    </w:p>
    <w:p w:rsidR="002742AD" w:rsidRDefault="002742AD" w:rsidP="006735B5">
      <w:pPr>
        <w:spacing w:line="240" w:lineRule="auto"/>
      </w:pPr>
      <w:r>
        <w:t xml:space="preserve">Объем дебиторской задолженности по доходам на конец отчетного периода достиг уровня </w:t>
      </w:r>
      <w:r w:rsidR="005D0A2F">
        <w:t>5122844,63</w:t>
      </w:r>
      <w:r>
        <w:t xml:space="preserve"> тыс. рублей</w:t>
      </w:r>
      <w:r w:rsidR="00DD574A">
        <w:t xml:space="preserve">, </w:t>
      </w:r>
      <w:r w:rsidR="005D0A2F">
        <w:t>увелич</w:t>
      </w:r>
      <w:r w:rsidR="00DD574A">
        <w:t xml:space="preserve">ившись в течение года на </w:t>
      </w:r>
      <w:r w:rsidR="009248B4">
        <w:t xml:space="preserve">   </w:t>
      </w:r>
      <w:r w:rsidR="00C878BB">
        <w:t>553666,70</w:t>
      </w:r>
      <w:r w:rsidR="000C2460">
        <w:t xml:space="preserve"> тыс. рублей или на </w:t>
      </w:r>
      <w:r w:rsidR="00C878BB">
        <w:t>12,1</w:t>
      </w:r>
      <w:r w:rsidR="000C2460">
        <w:t xml:space="preserve"> %.</w:t>
      </w:r>
    </w:p>
    <w:p w:rsidR="00C75199" w:rsidRDefault="00C75199" w:rsidP="006735B5">
      <w:pPr>
        <w:spacing w:line="240" w:lineRule="auto"/>
      </w:pPr>
      <w:r w:rsidRPr="00C75199">
        <w:t xml:space="preserve">Объем </w:t>
      </w:r>
      <w:r>
        <w:t xml:space="preserve">кредиторской </w:t>
      </w:r>
      <w:r w:rsidRPr="00C75199">
        <w:t xml:space="preserve"> задолженности по доходам </w:t>
      </w:r>
      <w:r>
        <w:t xml:space="preserve">местного бюджета </w:t>
      </w:r>
      <w:r w:rsidR="00CC73F5" w:rsidRPr="00CC73F5">
        <w:t xml:space="preserve">в течение года </w:t>
      </w:r>
      <w:r w:rsidR="002F7872">
        <w:t>уменьшился</w:t>
      </w:r>
      <w:r w:rsidR="00CC73F5">
        <w:t xml:space="preserve"> на </w:t>
      </w:r>
      <w:r w:rsidR="002F7872">
        <w:t>102328,68</w:t>
      </w:r>
      <w:r w:rsidR="00CC73F5">
        <w:t xml:space="preserve"> тыс. рублей или </w:t>
      </w:r>
      <w:r w:rsidR="002F7872">
        <w:t>4,2</w:t>
      </w:r>
      <w:r w:rsidR="00133CFB">
        <w:t xml:space="preserve"> раза и </w:t>
      </w:r>
      <w:r w:rsidRPr="00C75199">
        <w:t xml:space="preserve">на конец отчетного периода </w:t>
      </w:r>
      <w:r w:rsidR="00133CFB" w:rsidRPr="00E46C1E">
        <w:t xml:space="preserve">составил </w:t>
      </w:r>
      <w:r w:rsidRPr="00E46C1E">
        <w:t xml:space="preserve"> </w:t>
      </w:r>
      <w:r w:rsidR="00153E64">
        <w:t>32257,63</w:t>
      </w:r>
      <w:r w:rsidRPr="00E46C1E">
        <w:t xml:space="preserve"> тыс. рублей.</w:t>
      </w:r>
    </w:p>
    <w:p w:rsidR="00525531" w:rsidRDefault="00525531" w:rsidP="006735B5">
      <w:pPr>
        <w:spacing w:line="240" w:lineRule="auto"/>
      </w:pPr>
      <w:r>
        <w:t>Общая сумма задолженности перед местным бюджетом в виде оплаче</w:t>
      </w:r>
      <w:r w:rsidR="008D28E4">
        <w:t>н</w:t>
      </w:r>
      <w:r>
        <w:t>ных авансовых платежей, расчетов с подотчетными</w:t>
      </w:r>
      <w:r w:rsidR="008D28E4">
        <w:t xml:space="preserve"> лицами, расчетов по  платежам в бюджеты снизилась на </w:t>
      </w:r>
      <w:r w:rsidR="003D561D">
        <w:t>446,78</w:t>
      </w:r>
      <w:r w:rsidR="0071265E">
        <w:t xml:space="preserve"> тыс. рублей</w:t>
      </w:r>
      <w:r w:rsidR="007E4A1C">
        <w:t xml:space="preserve"> или </w:t>
      </w:r>
      <w:r w:rsidR="003D561D">
        <w:t>45,0</w:t>
      </w:r>
      <w:r w:rsidR="007E4A1C">
        <w:t xml:space="preserve"> % и на конец отчетного периода составила </w:t>
      </w:r>
      <w:r w:rsidR="003D561D">
        <w:t>545,42</w:t>
      </w:r>
      <w:r w:rsidR="007E4A1C">
        <w:t xml:space="preserve"> тыс. рублей.</w:t>
      </w:r>
    </w:p>
    <w:p w:rsidR="00132A90" w:rsidRDefault="00132A90" w:rsidP="006735B5">
      <w:pPr>
        <w:spacing w:line="240" w:lineRule="auto"/>
      </w:pPr>
      <w:r>
        <w:t xml:space="preserve">В то же время, </w:t>
      </w:r>
      <w:proofErr w:type="gramStart"/>
      <w:r>
        <w:t>на коне</w:t>
      </w:r>
      <w:r w:rsidR="009D1B86">
        <w:t>ц</w:t>
      </w:r>
      <w:proofErr w:type="gramEnd"/>
      <w:r w:rsidR="009D1B86">
        <w:t xml:space="preserve"> 20</w:t>
      </w:r>
      <w:r w:rsidR="003D561D">
        <w:t>20</w:t>
      </w:r>
      <w:r w:rsidR="009D1B86">
        <w:t xml:space="preserve"> </w:t>
      </w:r>
      <w:r w:rsidR="005C0FC0">
        <w:t xml:space="preserve">года кредиторская задолженность </w:t>
      </w:r>
      <w:r w:rsidR="00DA068D">
        <w:t>по начисленным суммам налогов, сборов, страховых взносов и иным обязательным платежам на конец отчетного периода сложилась в сумме</w:t>
      </w:r>
      <w:r w:rsidR="00947442">
        <w:t xml:space="preserve"> </w:t>
      </w:r>
      <w:r w:rsidR="009248B4">
        <w:t xml:space="preserve">  </w:t>
      </w:r>
      <w:r w:rsidR="001313CB">
        <w:lastRenderedPageBreak/>
        <w:t>68802,33</w:t>
      </w:r>
      <w:r w:rsidR="00947442">
        <w:t xml:space="preserve"> тыс. рублей, увеличившись относительно показателя на начало 20</w:t>
      </w:r>
      <w:r w:rsidR="001313CB">
        <w:t>20</w:t>
      </w:r>
      <w:r w:rsidR="00947442">
        <w:t xml:space="preserve"> года на </w:t>
      </w:r>
      <w:r w:rsidR="008577B5">
        <w:t>68717,61</w:t>
      </w:r>
      <w:r w:rsidR="006C7C99">
        <w:t xml:space="preserve"> тыс. рублей или </w:t>
      </w:r>
      <w:r w:rsidR="00727942">
        <w:t xml:space="preserve">более чем </w:t>
      </w:r>
      <w:r w:rsidR="00FB7557">
        <w:t xml:space="preserve">в </w:t>
      </w:r>
      <w:r w:rsidR="001313CB">
        <w:t>812</w:t>
      </w:r>
      <w:r w:rsidR="006C7C99">
        <w:t xml:space="preserve"> раз.</w:t>
      </w:r>
    </w:p>
    <w:p w:rsidR="00FB7557" w:rsidRDefault="00FB7557" w:rsidP="006735B5">
      <w:pPr>
        <w:spacing w:line="240" w:lineRule="auto"/>
      </w:pPr>
      <w:r>
        <w:t xml:space="preserve">Объем </w:t>
      </w:r>
      <w:r w:rsidRPr="00FB7557">
        <w:t xml:space="preserve">кредиторской задолженности по расчетам по принятым обязательствам </w:t>
      </w:r>
      <w:r w:rsidR="0044210A">
        <w:t>увелич</w:t>
      </w:r>
      <w:r w:rsidRPr="00FB7557">
        <w:t>ил</w:t>
      </w:r>
      <w:r w:rsidR="00DE7C51">
        <w:t>ся</w:t>
      </w:r>
      <w:r w:rsidRPr="00FB7557">
        <w:t xml:space="preserve"> на </w:t>
      </w:r>
      <w:r w:rsidR="0044210A">
        <w:t>27,87</w:t>
      </w:r>
      <w:r w:rsidRPr="00FB7557">
        <w:t xml:space="preserve"> тыс. рублей или </w:t>
      </w:r>
      <w:r w:rsidR="00827800">
        <w:t>0,9</w:t>
      </w:r>
      <w:r w:rsidRPr="00FB7557">
        <w:t xml:space="preserve"> % и составил </w:t>
      </w:r>
      <w:r w:rsidR="00C53DED">
        <w:t xml:space="preserve">    </w:t>
      </w:r>
      <w:r w:rsidR="00827800">
        <w:t>3145,13</w:t>
      </w:r>
      <w:r w:rsidRPr="00FB7557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F95531">
        <w:t>Расчеты</w:t>
      </w:r>
      <w:r w:rsidRPr="00335C90">
        <w:t xml:space="preserve"> по выданным авансам </w:t>
      </w:r>
      <w:r w:rsidR="00294ED7">
        <w:t>уменьшились</w:t>
      </w:r>
      <w:r w:rsidRPr="00335C90">
        <w:t xml:space="preserve"> на </w:t>
      </w:r>
      <w:r w:rsidR="009B47F3">
        <w:t>108,07</w:t>
      </w:r>
      <w:r w:rsidRPr="00335C90">
        <w:t xml:space="preserve"> тыс. рублей или на </w:t>
      </w:r>
      <w:r w:rsidR="009B47F3">
        <w:t>20,0</w:t>
      </w:r>
      <w:r w:rsidRPr="00335C90">
        <w:t xml:space="preserve">% и на конец года составили </w:t>
      </w:r>
      <w:r w:rsidR="009B47F3">
        <w:t>431,58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В отчете о финансовых результатах (форма 0503121) содержатся данные о результатах деятельности учреждений при исполнении </w:t>
      </w:r>
      <w:r w:rsidR="00980EE4">
        <w:t>местного</w:t>
      </w:r>
      <w:r w:rsidRPr="00335C90">
        <w:t xml:space="preserve"> бюджета в разрезе классификации операций сектора государственного управления (далее – КОСГУ). Основной показатель данного отчета – чистый операционный результат, отражающий сумму изменений финансового результата за отчетный период.</w:t>
      </w:r>
    </w:p>
    <w:p w:rsidR="00901909" w:rsidRDefault="00901909" w:rsidP="00901909">
      <w:pPr>
        <w:spacing w:line="240" w:lineRule="auto"/>
      </w:pPr>
      <w:r>
        <w:t xml:space="preserve">Доходы учреждений в сумме </w:t>
      </w:r>
      <w:r w:rsidRPr="00901909">
        <w:t>2122299,01</w:t>
      </w:r>
      <w:r w:rsidR="002049B3">
        <w:t xml:space="preserve"> </w:t>
      </w:r>
      <w:r>
        <w:t xml:space="preserve">тыс. рублей начислены по бюджетной деятельности. Основную долю </w:t>
      </w:r>
      <w:r w:rsidR="00386401" w:rsidRPr="00386401">
        <w:t>занимают безвозмездные поступления от других бюджетов бюджетной системы Российской Федерации – 72,8%  (1545902,30 тыс. рублей</w:t>
      </w:r>
      <w:r w:rsidR="0000180B">
        <w:t xml:space="preserve">, </w:t>
      </w:r>
      <w:r w:rsidR="0000180B" w:rsidRPr="0000180B">
        <w:t xml:space="preserve">из них поступления текущего характера от других бюджетов бюджетной системы Российской Федерации – </w:t>
      </w:r>
      <w:r w:rsidR="00C53DED">
        <w:t xml:space="preserve">        </w:t>
      </w:r>
      <w:r w:rsidR="00840E52">
        <w:t>1533704,68</w:t>
      </w:r>
      <w:r w:rsidR="0000180B" w:rsidRPr="0000180B">
        <w:t xml:space="preserve"> тыс. рублей)</w:t>
      </w:r>
      <w:r w:rsidR="00E23772">
        <w:t xml:space="preserve">. </w:t>
      </w:r>
      <w:r>
        <w:t xml:space="preserve">Безвозмездные </w:t>
      </w:r>
      <w:proofErr w:type="spellStart"/>
      <w:r>
        <w:t>неденежные</w:t>
      </w:r>
      <w:proofErr w:type="spellEnd"/>
      <w:r>
        <w:t xml:space="preserve"> поступления в сектор государственного управления составили </w:t>
      </w:r>
      <w:r w:rsidR="00423B87">
        <w:t>4,8</w:t>
      </w:r>
      <w:r>
        <w:t>% (</w:t>
      </w:r>
      <w:r w:rsidR="003B6DCC">
        <w:t>101722</w:t>
      </w:r>
      <w:r w:rsidR="00CD4B70">
        <w:t>,71</w:t>
      </w:r>
      <w:r>
        <w:t xml:space="preserve"> тыс. рублей) от общей суммы доходов.</w:t>
      </w:r>
    </w:p>
    <w:p w:rsidR="00901909" w:rsidRDefault="00901909" w:rsidP="00901909">
      <w:pPr>
        <w:spacing w:line="240" w:lineRule="auto"/>
      </w:pPr>
      <w:r>
        <w:t xml:space="preserve">Суммы штрафов, пеней, неустоек, возмещения ущерба составили доход в размере </w:t>
      </w:r>
      <w:r w:rsidR="0016020B">
        <w:t>2261,00</w:t>
      </w:r>
      <w:r>
        <w:t xml:space="preserve"> тыс. рублей (</w:t>
      </w:r>
      <w:r w:rsidR="00423B87">
        <w:t>0,1</w:t>
      </w:r>
      <w:r>
        <w:t>%).</w:t>
      </w:r>
    </w:p>
    <w:p w:rsidR="00901909" w:rsidRDefault="00901909" w:rsidP="00901909">
      <w:pPr>
        <w:spacing w:line="240" w:lineRule="auto"/>
      </w:pPr>
      <w:r>
        <w:t>Доходы от собственности в 20</w:t>
      </w:r>
      <w:r w:rsidR="00423B87">
        <w:t>20</w:t>
      </w:r>
      <w:r>
        <w:t xml:space="preserve"> году сложились в сумме</w:t>
      </w:r>
      <w:r w:rsidR="00990B1B">
        <w:t xml:space="preserve">             </w:t>
      </w:r>
      <w:r>
        <w:t xml:space="preserve"> </w:t>
      </w:r>
      <w:r w:rsidR="0079473F">
        <w:t>53316,16</w:t>
      </w:r>
      <w:r>
        <w:t xml:space="preserve"> тыс. рублей (</w:t>
      </w:r>
      <w:r w:rsidR="0079473F">
        <w:t>2</w:t>
      </w:r>
      <w:r>
        <w:t xml:space="preserve">,5% от общей суммы доходов). Также в анализируемом периоде начислены доходы от оказания платных услуг (работ), компенсаций затрат в сумме </w:t>
      </w:r>
      <w:r w:rsidR="0079473F">
        <w:t>6751,35</w:t>
      </w:r>
      <w:r>
        <w:t xml:space="preserve"> тыс. рублей </w:t>
      </w:r>
      <w:r w:rsidR="00B76CB2">
        <w:t xml:space="preserve">(0,3%) </w:t>
      </w:r>
      <w:r>
        <w:t xml:space="preserve">и прочие доходы в сумме </w:t>
      </w:r>
      <w:r w:rsidR="00990B1B">
        <w:t xml:space="preserve">         </w:t>
      </w:r>
      <w:r w:rsidR="007601C2">
        <w:t>398,15</w:t>
      </w:r>
      <w:r>
        <w:t xml:space="preserve"> тыс. рублей (удельный вес в общей сумме доходов составил 0,</w:t>
      </w:r>
      <w:r w:rsidR="0020770B">
        <w:t>02%</w:t>
      </w:r>
      <w:r>
        <w:t>).</w:t>
      </w:r>
      <w:r w:rsidR="008F1B69" w:rsidRPr="008F1B69">
        <w:t xml:space="preserve"> Операции с активами в 20</w:t>
      </w:r>
      <w:r w:rsidR="008F1B69">
        <w:t>20</w:t>
      </w:r>
      <w:r w:rsidR="008F1B69" w:rsidRPr="008F1B69">
        <w:t xml:space="preserve"> году были </w:t>
      </w:r>
      <w:r w:rsidR="006F2AF6">
        <w:t>прибыльны</w:t>
      </w:r>
      <w:r w:rsidR="008F1B69" w:rsidRPr="008F1B69">
        <w:t xml:space="preserve"> –</w:t>
      </w:r>
      <w:r w:rsidR="006F2AF6">
        <w:t xml:space="preserve"> 69330,47</w:t>
      </w:r>
      <w:r w:rsidR="008F1B69" w:rsidRPr="008F1B69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795980">
        <w:t>Расходы</w:t>
      </w:r>
      <w:r w:rsidRPr="00335C90">
        <w:t xml:space="preserve"> учреждений сформированы только за счет бюджетной деятельности в сумме </w:t>
      </w:r>
      <w:r w:rsidR="00F62F4D">
        <w:t>2043243,01</w:t>
      </w:r>
      <w:r w:rsidRPr="00335C90">
        <w:t xml:space="preserve"> тыс. рублей и представлены следующей структурой:</w:t>
      </w:r>
    </w:p>
    <w:p w:rsidR="00335C90" w:rsidRPr="00335C90" w:rsidRDefault="00335C90" w:rsidP="006735B5">
      <w:pPr>
        <w:spacing w:line="240" w:lineRule="auto"/>
      </w:pPr>
      <w:r w:rsidRPr="00335C90">
        <w:t xml:space="preserve">- оплата труда и начисления на выплаты по оплате труда – </w:t>
      </w:r>
      <w:r w:rsidR="00CC1FC2">
        <w:t xml:space="preserve">                  </w:t>
      </w:r>
      <w:r w:rsidR="00E02567">
        <w:t>594056,72</w:t>
      </w:r>
      <w:r w:rsidRPr="00335C90">
        <w:t xml:space="preserve"> тыс. рублей (</w:t>
      </w:r>
      <w:r w:rsidR="00AD31F0">
        <w:t>29,1</w:t>
      </w:r>
      <w:r w:rsidR="006947B1">
        <w:t xml:space="preserve"> </w:t>
      </w:r>
      <w:r w:rsidRPr="00335C90">
        <w:t>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t xml:space="preserve">- </w:t>
      </w:r>
      <w:r w:rsidR="00AF3934">
        <w:t>оплата работ,</w:t>
      </w:r>
      <w:r w:rsidRPr="00335C90">
        <w:t xml:space="preserve"> услуг – </w:t>
      </w:r>
      <w:r w:rsidR="00AD31F0">
        <w:t>344211,57</w:t>
      </w:r>
      <w:r w:rsidRPr="00335C90">
        <w:t xml:space="preserve"> тыс. рублей (</w:t>
      </w:r>
      <w:r w:rsidR="00AD31F0">
        <w:t>16,8</w:t>
      </w:r>
      <w:r w:rsidR="006947B1">
        <w:t xml:space="preserve"> </w:t>
      </w:r>
      <w:r w:rsidRPr="00335C90">
        <w:t>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t xml:space="preserve">- безвозмездные перечисления организациям – </w:t>
      </w:r>
      <w:r w:rsidR="00AD31F0">
        <w:t>416350,01</w:t>
      </w:r>
      <w:r w:rsidRPr="00335C90">
        <w:t xml:space="preserve"> тыс. рублей (</w:t>
      </w:r>
      <w:r w:rsidR="00EA0EBD">
        <w:t>20,4</w:t>
      </w:r>
      <w:r w:rsidR="006947B1">
        <w:t xml:space="preserve"> </w:t>
      </w:r>
      <w:r w:rsidRPr="00335C90">
        <w:t>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t xml:space="preserve">- социальное обеспечение – </w:t>
      </w:r>
      <w:r w:rsidR="00D7423D">
        <w:t>521740,48</w:t>
      </w:r>
      <w:r w:rsidRPr="00335C90">
        <w:t xml:space="preserve"> тыс. рублей (</w:t>
      </w:r>
      <w:r w:rsidR="00D7423D">
        <w:t>25,5</w:t>
      </w:r>
      <w:r w:rsidR="006947B1">
        <w:t xml:space="preserve"> </w:t>
      </w:r>
      <w:r w:rsidRPr="00335C90">
        <w:t>% от общего объема расходов);</w:t>
      </w:r>
    </w:p>
    <w:p w:rsidR="00335C90" w:rsidRDefault="00335C90" w:rsidP="006735B5">
      <w:pPr>
        <w:spacing w:line="240" w:lineRule="auto"/>
      </w:pPr>
      <w:r w:rsidRPr="00335C90">
        <w:t xml:space="preserve">- расходы по операциям с активами – </w:t>
      </w:r>
      <w:r w:rsidR="00D7423D">
        <w:t xml:space="preserve">100311,39 </w:t>
      </w:r>
      <w:r w:rsidRPr="00335C90">
        <w:t xml:space="preserve"> тыс. рублей (</w:t>
      </w:r>
      <w:r w:rsidR="00E079F5">
        <w:t>4,9</w:t>
      </w:r>
      <w:r w:rsidR="009E106F">
        <w:t xml:space="preserve"> </w:t>
      </w:r>
      <w:r w:rsidRPr="00335C90">
        <w:t>% от общего объема расходов);</w:t>
      </w:r>
    </w:p>
    <w:p w:rsidR="009E106F" w:rsidRPr="00335C90" w:rsidRDefault="009E106F" w:rsidP="006735B5">
      <w:pPr>
        <w:spacing w:line="240" w:lineRule="auto"/>
      </w:pPr>
      <w:r>
        <w:t>- б</w:t>
      </w:r>
      <w:r w:rsidRPr="009E106F">
        <w:t>езвозмездные перечисления капитального характера организациям</w:t>
      </w:r>
      <w:r>
        <w:t xml:space="preserve"> </w:t>
      </w:r>
      <w:r w:rsidR="005B403E">
        <w:t>–</w:t>
      </w:r>
      <w:r>
        <w:t xml:space="preserve"> </w:t>
      </w:r>
      <w:r w:rsidR="00E079F5">
        <w:t>62801,54</w:t>
      </w:r>
      <w:r w:rsidR="005B403E">
        <w:t xml:space="preserve"> тыс. рублей </w:t>
      </w:r>
      <w:r w:rsidR="005B403E" w:rsidRPr="005B403E">
        <w:t>(</w:t>
      </w:r>
      <w:r w:rsidR="00E079F5">
        <w:t>3,1</w:t>
      </w:r>
      <w:r w:rsidR="005B403E" w:rsidRPr="005B403E">
        <w:t xml:space="preserve"> % от общего объема расходов);</w:t>
      </w:r>
    </w:p>
    <w:p w:rsidR="00335C90" w:rsidRPr="00335C90" w:rsidRDefault="00335C90" w:rsidP="006735B5">
      <w:pPr>
        <w:spacing w:line="240" w:lineRule="auto"/>
      </w:pPr>
      <w:r w:rsidRPr="00335C90">
        <w:lastRenderedPageBreak/>
        <w:t xml:space="preserve">- прочие расходы – </w:t>
      </w:r>
      <w:r w:rsidR="00E079F5">
        <w:t>3771,31</w:t>
      </w:r>
      <w:r w:rsidRPr="00335C90">
        <w:t xml:space="preserve"> тыс. рублей (0,</w:t>
      </w:r>
      <w:r w:rsidR="005B403E">
        <w:t xml:space="preserve">2 </w:t>
      </w:r>
      <w:r w:rsidRPr="00335C90">
        <w:t>% от общего объема расходов)</w:t>
      </w:r>
      <w:r w:rsidR="00A23046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Чистый операционный результат составил </w:t>
      </w:r>
      <w:r w:rsidR="00F106C4">
        <w:t>79055,99</w:t>
      </w:r>
      <w:r w:rsidRPr="00335C90">
        <w:t xml:space="preserve"> 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Отчет о движении денежных средств (форма 0503123) в разрезе кодов </w:t>
      </w:r>
      <w:hyperlink r:id="rId9" w:history="1">
        <w:r w:rsidRPr="00A23046">
          <w:rPr>
            <w:rStyle w:val="a5"/>
            <w:color w:val="auto"/>
            <w:u w:val="none"/>
          </w:rPr>
          <w:t>КОСГУ</w:t>
        </w:r>
      </w:hyperlink>
      <w:r w:rsidRPr="00A23046">
        <w:t xml:space="preserve"> </w:t>
      </w:r>
      <w:r w:rsidRPr="00335C90">
        <w:t>отражает данные о движении денежных средств, сформированные финансовым органом в соответствии с показателями консолидированных отчетов ГРБС, ГАИФДБ, и включает в себя текущие, инвестиционные и финансовые операции по разделам: «Поступления», «Выбытия», «Изменения остатков средств».</w:t>
      </w:r>
    </w:p>
    <w:p w:rsidR="00335C90" w:rsidRPr="00335C90" w:rsidRDefault="00335C90" w:rsidP="006735B5">
      <w:pPr>
        <w:spacing w:line="240" w:lineRule="auto"/>
      </w:pPr>
      <w:r w:rsidRPr="00335C90">
        <w:t>Анализ показал, что в отчетном периоде поступления денежных сре</w:t>
      </w:r>
      <w:proofErr w:type="gramStart"/>
      <w:r w:rsidRPr="00335C90">
        <w:t>дств сл</w:t>
      </w:r>
      <w:proofErr w:type="gramEnd"/>
      <w:r w:rsidRPr="00335C90">
        <w:t xml:space="preserve">ожились в сумме </w:t>
      </w:r>
      <w:r w:rsidR="00696214">
        <w:t>1935917,11</w:t>
      </w:r>
      <w:r w:rsidRPr="00335C90">
        <w:t xml:space="preserve"> тыс. рублей, из них:</w:t>
      </w:r>
    </w:p>
    <w:p w:rsidR="00335C90" w:rsidRPr="00335C90" w:rsidRDefault="00335C90" w:rsidP="006735B5">
      <w:pPr>
        <w:spacing w:line="240" w:lineRule="auto"/>
      </w:pPr>
      <w:r w:rsidRPr="00335C90">
        <w:t>- поступления по операциям текущего характера –</w:t>
      </w:r>
      <w:r w:rsidR="00990B1B">
        <w:t xml:space="preserve">                      </w:t>
      </w:r>
      <w:r w:rsidRPr="00335C90">
        <w:t xml:space="preserve"> </w:t>
      </w:r>
      <w:r w:rsidR="00696214">
        <w:t>1933974,92</w:t>
      </w:r>
      <w:r w:rsidRPr="00335C90">
        <w:t xml:space="preserve"> тыс. рублей;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поступления от инвестиционных операций – </w:t>
      </w:r>
      <w:r w:rsidR="00A26714">
        <w:t>1942</w:t>
      </w:r>
      <w:r w:rsidR="003225DD">
        <w:t>,</w:t>
      </w:r>
      <w:r w:rsidR="00A26714">
        <w:t>19</w:t>
      </w:r>
      <w:r w:rsidRPr="00335C90">
        <w:t xml:space="preserve"> тыс. рублей</w:t>
      </w:r>
      <w:r w:rsidR="00A33A1D">
        <w:t>.</w:t>
      </w:r>
    </w:p>
    <w:p w:rsidR="00335C90" w:rsidRPr="00335C90" w:rsidRDefault="00335C90" w:rsidP="006735B5">
      <w:pPr>
        <w:spacing w:line="240" w:lineRule="auto"/>
      </w:pPr>
      <w:proofErr w:type="gramStart"/>
      <w:r w:rsidRPr="00335C90">
        <w:t xml:space="preserve">Поступления от операций текущего характера сформировали: налоговые доходы в сумме </w:t>
      </w:r>
      <w:r w:rsidR="00BF523A" w:rsidRPr="00BF523A">
        <w:t>343946</w:t>
      </w:r>
      <w:r w:rsidR="00BF523A">
        <w:t>,</w:t>
      </w:r>
      <w:r w:rsidR="00BF523A" w:rsidRPr="00BF523A">
        <w:t>05</w:t>
      </w:r>
      <w:r w:rsidR="00BF523A">
        <w:t xml:space="preserve"> </w:t>
      </w:r>
      <w:r w:rsidRPr="00335C90">
        <w:t>тыс. рублей,</w:t>
      </w:r>
      <w:r w:rsidR="0058636B" w:rsidRPr="0058636B">
        <w:t xml:space="preserve"> доходы от собственности – </w:t>
      </w:r>
      <w:r w:rsidR="00CC1FC2">
        <w:t xml:space="preserve">               </w:t>
      </w:r>
      <w:r w:rsidR="00BF523A" w:rsidRPr="00BF523A">
        <w:t>48876</w:t>
      </w:r>
      <w:r w:rsidR="00BF523A">
        <w:t>,</w:t>
      </w:r>
      <w:r w:rsidR="00BF523A" w:rsidRPr="00BF523A">
        <w:t>4</w:t>
      </w:r>
      <w:r w:rsidR="00BF523A">
        <w:t xml:space="preserve">8 </w:t>
      </w:r>
      <w:r w:rsidR="0058636B" w:rsidRPr="0058636B">
        <w:t xml:space="preserve">тыс. рублей, </w:t>
      </w:r>
      <w:r w:rsidR="0065108F" w:rsidRPr="0065108F">
        <w:t xml:space="preserve">доходы от оказания платных услуг – </w:t>
      </w:r>
      <w:r w:rsidR="00BF523A" w:rsidRPr="00BF523A">
        <w:t>6015</w:t>
      </w:r>
      <w:r w:rsidR="009A00BF">
        <w:t>,</w:t>
      </w:r>
      <w:r w:rsidR="00BF523A" w:rsidRPr="00BF523A">
        <w:t>88</w:t>
      </w:r>
      <w:r w:rsidR="009A00BF">
        <w:t xml:space="preserve"> </w:t>
      </w:r>
      <w:r w:rsidR="0065108F" w:rsidRPr="0065108F">
        <w:t xml:space="preserve">тыс. рублей, </w:t>
      </w:r>
      <w:r w:rsidRPr="00335C90">
        <w:t xml:space="preserve"> </w:t>
      </w:r>
      <w:r w:rsidR="009A00BF" w:rsidRPr="009A00BF">
        <w:t>по штрафам, пеням, неустойкам, возмещению ущерба</w:t>
      </w:r>
      <w:r w:rsidR="009A00BF">
        <w:t xml:space="preserve"> </w:t>
      </w:r>
      <w:r w:rsidRPr="00335C90">
        <w:t xml:space="preserve">– </w:t>
      </w:r>
      <w:r w:rsidR="009A00BF" w:rsidRPr="009A00BF">
        <w:t>4067</w:t>
      </w:r>
      <w:r w:rsidR="009A00BF">
        <w:t>,</w:t>
      </w:r>
      <w:r w:rsidR="009A00BF" w:rsidRPr="009A00BF">
        <w:t>18</w:t>
      </w:r>
      <w:r w:rsidR="009A00BF">
        <w:t xml:space="preserve"> </w:t>
      </w:r>
      <w:r w:rsidRPr="00335C90">
        <w:t xml:space="preserve">тыс. рублей, </w:t>
      </w:r>
      <w:r w:rsidR="00AE6EFB" w:rsidRPr="00AE6EFB">
        <w:t xml:space="preserve">безвозмездные поступления от других бюджетов бюджетной системы Российской Федерации – </w:t>
      </w:r>
      <w:r w:rsidR="00CC1FC2">
        <w:t xml:space="preserve"> </w:t>
      </w:r>
      <w:r w:rsidR="00DA2BCF" w:rsidRPr="00DA2BCF">
        <w:t>1530703629,41</w:t>
      </w:r>
      <w:r w:rsidR="00DA2BCF">
        <w:t xml:space="preserve">  </w:t>
      </w:r>
      <w:r w:rsidR="00AE6EFB" w:rsidRPr="00AE6EFB">
        <w:t xml:space="preserve">тыс. рублей, </w:t>
      </w:r>
      <w:r w:rsidR="00DA2BCF" w:rsidRPr="00DA2BCF">
        <w:t>по иным текущим поступлениям</w:t>
      </w:r>
      <w:r w:rsidR="00DA2BCF">
        <w:t xml:space="preserve"> </w:t>
      </w:r>
      <w:r w:rsidRPr="00335C90">
        <w:t xml:space="preserve">– </w:t>
      </w:r>
      <w:r w:rsidR="00DA2BCF" w:rsidRPr="00DA2BCF">
        <w:t>365</w:t>
      </w:r>
      <w:r w:rsidR="00DA2BCF">
        <w:t>,</w:t>
      </w:r>
      <w:r w:rsidR="00DA2BCF" w:rsidRPr="00DA2BCF">
        <w:t>70</w:t>
      </w:r>
      <w:r w:rsidR="00DA2BCF">
        <w:t xml:space="preserve"> </w:t>
      </w:r>
      <w:r w:rsidRPr="00335C90">
        <w:t>тыс. рублей.</w:t>
      </w:r>
      <w:proofErr w:type="gramEnd"/>
    </w:p>
    <w:p w:rsidR="00335C90" w:rsidRPr="00335C90" w:rsidRDefault="00335C90" w:rsidP="006735B5">
      <w:pPr>
        <w:spacing w:line="240" w:lineRule="auto"/>
      </w:pPr>
      <w:r w:rsidRPr="00335C90">
        <w:t xml:space="preserve">Поступления от инвестиционных операций сформированы в общей сумме </w:t>
      </w:r>
      <w:r w:rsidR="003225DD" w:rsidRPr="003225DD">
        <w:t>1942</w:t>
      </w:r>
      <w:r w:rsidR="003225DD">
        <w:t>,</w:t>
      </w:r>
      <w:r w:rsidR="003225DD" w:rsidRPr="003225DD">
        <w:t>19</w:t>
      </w:r>
      <w:r w:rsidR="003225DD">
        <w:t xml:space="preserve"> </w:t>
      </w:r>
      <w:r w:rsidRPr="00335C90">
        <w:t xml:space="preserve">тыс. рублей за счет реализации основных средств на сумму </w:t>
      </w:r>
      <w:r w:rsidR="00CC1FC2">
        <w:t xml:space="preserve">                   </w:t>
      </w:r>
      <w:r w:rsidR="00370717" w:rsidRPr="00370717">
        <w:t>572</w:t>
      </w:r>
      <w:r w:rsidR="00370717">
        <w:t>,</w:t>
      </w:r>
      <w:r w:rsidR="00370717" w:rsidRPr="00370717">
        <w:t>4</w:t>
      </w:r>
      <w:r w:rsidR="00370717">
        <w:t xml:space="preserve">1 </w:t>
      </w:r>
      <w:r w:rsidRPr="00335C90">
        <w:t xml:space="preserve">тыс. рублей, непроизведенных активов – </w:t>
      </w:r>
      <w:r w:rsidR="00C40999" w:rsidRPr="00C40999">
        <w:t>1286</w:t>
      </w:r>
      <w:r w:rsidR="00C40999">
        <w:t>,</w:t>
      </w:r>
      <w:r w:rsidR="00C40999" w:rsidRPr="00C40999">
        <w:t>3</w:t>
      </w:r>
      <w:r w:rsidR="00C40999">
        <w:t xml:space="preserve">2 </w:t>
      </w:r>
      <w:r w:rsidRPr="00335C90">
        <w:t xml:space="preserve">тыс. рублей и материальных запасов – </w:t>
      </w:r>
      <w:r w:rsidR="00C40999" w:rsidRPr="00C40999">
        <w:t>83</w:t>
      </w:r>
      <w:r w:rsidR="00C40999">
        <w:t>,</w:t>
      </w:r>
      <w:r w:rsidR="00C40999" w:rsidRPr="00C40999">
        <w:t>47</w:t>
      </w:r>
      <w:r w:rsidR="00C40999">
        <w:t xml:space="preserve"> </w:t>
      </w:r>
      <w:r w:rsidRPr="00335C90">
        <w:t>тыс. рублей.</w:t>
      </w:r>
    </w:p>
    <w:p w:rsidR="00335C90" w:rsidRPr="00335C90" w:rsidRDefault="00335C90" w:rsidP="006735B5">
      <w:pPr>
        <w:spacing w:line="240" w:lineRule="auto"/>
      </w:pPr>
      <w:r w:rsidRPr="00335C90">
        <w:t xml:space="preserve">Сумма выбытия денежных средств со счетов по учету бюджетных средств составила </w:t>
      </w:r>
      <w:r w:rsidR="00C40999">
        <w:t>1952736,91</w:t>
      </w:r>
      <w:r w:rsidRPr="00335C90">
        <w:t xml:space="preserve"> тыс. рублей, в том числе: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 текущим операциям – </w:t>
      </w:r>
      <w:r w:rsidR="00C40999" w:rsidRPr="00C40999">
        <w:t>1932607</w:t>
      </w:r>
      <w:r w:rsidR="00CC472E">
        <w:t>,</w:t>
      </w:r>
      <w:r w:rsidR="00C40999" w:rsidRPr="00C40999">
        <w:t>74</w:t>
      </w:r>
      <w:r w:rsidR="00CC472E">
        <w:t xml:space="preserve"> </w:t>
      </w:r>
      <w:r w:rsidRPr="00335C90">
        <w:t>тыс. рублей;</w:t>
      </w:r>
    </w:p>
    <w:p w:rsidR="00335C90" w:rsidRPr="00335C90" w:rsidRDefault="00335C90" w:rsidP="006735B5">
      <w:pPr>
        <w:spacing w:line="240" w:lineRule="auto"/>
      </w:pPr>
      <w:r w:rsidRPr="00335C90">
        <w:t xml:space="preserve">- по инвестиционным операциям – </w:t>
      </w:r>
      <w:r w:rsidR="00CC472E" w:rsidRPr="00CC472E">
        <w:t>20129</w:t>
      </w:r>
      <w:r w:rsidR="00CC472E">
        <w:t>,</w:t>
      </w:r>
      <w:r w:rsidR="00CC472E" w:rsidRPr="00CC472E">
        <w:t>17</w:t>
      </w:r>
      <w:r w:rsidR="00CC472E">
        <w:t xml:space="preserve"> </w:t>
      </w:r>
      <w:r w:rsidRPr="00335C90">
        <w:t>тыс. рублей</w:t>
      </w:r>
      <w:r w:rsidR="009E455C">
        <w:t>.</w:t>
      </w:r>
    </w:p>
    <w:p w:rsidR="00335C90" w:rsidRDefault="00335C90" w:rsidP="006735B5">
      <w:pPr>
        <w:spacing w:line="240" w:lineRule="auto"/>
      </w:pPr>
      <w:r w:rsidRPr="00335C90">
        <w:t xml:space="preserve">Таким образом, итоговая сумма выбытия денежных средств со счетов бюджета, единого счета бюджета, открытого в органе, осуществляющем кассовое обслуживание исполнения бюджета, превысила их поступление на </w:t>
      </w:r>
      <w:r w:rsidR="00CC1FC2">
        <w:t xml:space="preserve">                </w:t>
      </w:r>
      <w:r w:rsidR="00D974F5">
        <w:t>16819,80</w:t>
      </w:r>
      <w:r w:rsidRPr="00335C90">
        <w:t xml:space="preserve"> тыс. рублей.</w:t>
      </w:r>
    </w:p>
    <w:p w:rsidR="0043368A" w:rsidRPr="00335C90" w:rsidRDefault="0043368A" w:rsidP="006735B5">
      <w:pPr>
        <w:spacing w:line="240" w:lineRule="auto"/>
      </w:pPr>
    </w:p>
    <w:p w:rsidR="00335C90" w:rsidRDefault="00335C90" w:rsidP="006735B5">
      <w:pPr>
        <w:spacing w:line="240" w:lineRule="auto"/>
        <w:rPr>
          <w:b/>
          <w:bCs/>
        </w:rPr>
      </w:pPr>
      <w:r w:rsidRPr="00335C90">
        <w:rPr>
          <w:b/>
          <w:bCs/>
        </w:rPr>
        <w:t xml:space="preserve">Анализ годовой бюджетной отчетности главных администраторов доходов, главных распорядителей средств бюджета </w:t>
      </w:r>
      <w:proofErr w:type="spellStart"/>
      <w:r w:rsidR="00304B49">
        <w:rPr>
          <w:b/>
          <w:bCs/>
        </w:rPr>
        <w:t>Ипатовского</w:t>
      </w:r>
      <w:proofErr w:type="spellEnd"/>
      <w:r w:rsidR="00304B49">
        <w:rPr>
          <w:b/>
          <w:bCs/>
        </w:rPr>
        <w:t xml:space="preserve"> городского округа </w:t>
      </w:r>
      <w:r w:rsidRPr="00335C90">
        <w:rPr>
          <w:b/>
          <w:bCs/>
        </w:rPr>
        <w:t>Ставропольского края, главных администраторов источников финансирования дефицита бюджета</w:t>
      </w:r>
    </w:p>
    <w:p w:rsidR="003F7801" w:rsidRDefault="00335C90" w:rsidP="006735B5">
      <w:pPr>
        <w:spacing w:line="240" w:lineRule="auto"/>
      </w:pPr>
      <w:proofErr w:type="gramStart"/>
      <w:r w:rsidRPr="00335C90">
        <w:t xml:space="preserve">Проверкой полноты, достоверности, соблюдения порядка составления и представления главными распорядителями средств бюджета </w:t>
      </w:r>
      <w:proofErr w:type="spellStart"/>
      <w:r w:rsidR="00304B49" w:rsidRPr="00304B49">
        <w:t>Ипатовского</w:t>
      </w:r>
      <w:proofErr w:type="spellEnd"/>
      <w:r w:rsidR="00304B49" w:rsidRPr="00304B49">
        <w:t xml:space="preserve"> городского округа </w:t>
      </w:r>
      <w:r w:rsidRPr="00335C90">
        <w:t xml:space="preserve">Ставропольского края, главными администраторами бюджетных средств, главными администраторами источников финансирования дефицита бюджета годовой бюджетной отчетности установлено, что представленная годовая бюджетная отчетность в соответствует предъявляемым требованиям и отражает фактические операции с бюджетными средствами, </w:t>
      </w:r>
      <w:r w:rsidRPr="00335C90">
        <w:lastRenderedPageBreak/>
        <w:t xml:space="preserve">результаты финансовой деятельности главных администраторов средств </w:t>
      </w:r>
      <w:r w:rsidR="00304B49">
        <w:t>местного</w:t>
      </w:r>
      <w:r w:rsidRPr="00335C90">
        <w:t xml:space="preserve"> бюджета и исполнение </w:t>
      </w:r>
      <w:r w:rsidR="00304B49">
        <w:t>местного бюджета за</w:t>
      </w:r>
      <w:proofErr w:type="gramEnd"/>
      <w:r w:rsidR="00304B49">
        <w:t xml:space="preserve"> 20</w:t>
      </w:r>
      <w:r w:rsidR="00E353CB">
        <w:t>20</w:t>
      </w:r>
      <w:r w:rsidRPr="00335C90">
        <w:t xml:space="preserve"> год.</w:t>
      </w:r>
    </w:p>
    <w:p w:rsidR="0043368A" w:rsidRDefault="0043368A" w:rsidP="006735B5">
      <w:pPr>
        <w:spacing w:line="240" w:lineRule="auto"/>
      </w:pPr>
    </w:p>
    <w:p w:rsidR="00335C90" w:rsidRPr="00335C90" w:rsidRDefault="00335C90" w:rsidP="006735B5">
      <w:pPr>
        <w:spacing w:line="240" w:lineRule="auto"/>
      </w:pPr>
      <w:r w:rsidRPr="00335C90">
        <w:rPr>
          <w:b/>
          <w:bCs/>
        </w:rPr>
        <w:t xml:space="preserve">Анализ состояния дебиторской и кредиторской задолженности субъектов бюджетной отчетности </w:t>
      </w:r>
      <w:proofErr w:type="spellStart"/>
      <w:r w:rsidR="00EF344F" w:rsidRPr="00EF344F">
        <w:rPr>
          <w:b/>
          <w:bCs/>
        </w:rPr>
        <w:t>Ипатовского</w:t>
      </w:r>
      <w:proofErr w:type="spellEnd"/>
      <w:r w:rsidR="00EF344F" w:rsidRPr="00EF344F">
        <w:rPr>
          <w:b/>
          <w:bCs/>
        </w:rPr>
        <w:t xml:space="preserve"> городского округа </w:t>
      </w:r>
      <w:r w:rsidRPr="00335C90">
        <w:rPr>
          <w:b/>
          <w:bCs/>
        </w:rPr>
        <w:t>Ставропольского края</w:t>
      </w:r>
    </w:p>
    <w:p w:rsidR="00335C90" w:rsidRDefault="00335C90" w:rsidP="006735B5">
      <w:pPr>
        <w:spacing w:line="240" w:lineRule="auto"/>
      </w:pPr>
      <w:r w:rsidRPr="00335C90">
        <w:t xml:space="preserve">Согласно показателям баланса исполнения бюджета </w:t>
      </w:r>
      <w:proofErr w:type="spellStart"/>
      <w:r w:rsidR="00EF344F" w:rsidRPr="00EF344F">
        <w:t>Ипатовского</w:t>
      </w:r>
      <w:proofErr w:type="spellEnd"/>
      <w:r w:rsidR="00EF344F" w:rsidRPr="00EF344F">
        <w:t xml:space="preserve"> городского округа </w:t>
      </w:r>
      <w:r w:rsidRPr="00335C90">
        <w:t>Ставропольского края (форма 0503120), сведениям о дебиторской и кредиторской задолженности (форма 0503169) по состоянию на 01.01.20</w:t>
      </w:r>
      <w:r w:rsidR="009B7DFC">
        <w:t>2</w:t>
      </w:r>
      <w:r w:rsidR="00043B00">
        <w:t>1</w:t>
      </w:r>
      <w:r w:rsidR="002336F1">
        <w:t xml:space="preserve"> года</w:t>
      </w:r>
      <w:r w:rsidRPr="00335C90">
        <w:t xml:space="preserve"> общая сумма дебиторской задолженности составила</w:t>
      </w:r>
      <w:r w:rsidR="00990B1B">
        <w:t xml:space="preserve"> </w:t>
      </w:r>
      <w:r w:rsidRPr="00335C90">
        <w:t xml:space="preserve"> </w:t>
      </w:r>
      <w:r w:rsidR="0053214A">
        <w:t>5123390,05</w:t>
      </w:r>
      <w:r w:rsidR="003F7801">
        <w:t xml:space="preserve"> </w:t>
      </w:r>
      <w:r w:rsidRPr="00335C90">
        <w:t xml:space="preserve"> тыс. рублей, кредиторской задолженности – </w:t>
      </w:r>
      <w:r w:rsidR="00482FE2">
        <w:t>104205,09</w:t>
      </w:r>
      <w:r w:rsidRPr="00335C90">
        <w:t xml:space="preserve"> тыс. рублей.</w:t>
      </w:r>
    </w:p>
    <w:p w:rsidR="00CD0914" w:rsidRPr="00335C90" w:rsidRDefault="00CD0914" w:rsidP="006735B5">
      <w:pPr>
        <w:spacing w:line="240" w:lineRule="auto"/>
      </w:pPr>
      <w:r>
        <w:t>Отдельные показатели сумм дебиторской</w:t>
      </w:r>
      <w:r w:rsidR="00EA3AD3">
        <w:t xml:space="preserve"> </w:t>
      </w:r>
      <w:r w:rsidR="00472E31">
        <w:t xml:space="preserve">(кредиторской) </w:t>
      </w:r>
      <w:r w:rsidR="00EA3AD3">
        <w:t>задолженности, учитываемые по соответствующим</w:t>
      </w:r>
      <w:r w:rsidR="00A22410">
        <w:t xml:space="preserve"> номерам счетов бюджетного учета, отраженные на начало отчетного периода в форме 0503120, форме 0503169 не соответс</w:t>
      </w:r>
      <w:r w:rsidR="00C17813">
        <w:t>т</w:t>
      </w:r>
      <w:r w:rsidR="00A22410">
        <w:t>вуют идентичным итоговым показателям бюджетной отчетности за 201</w:t>
      </w:r>
      <w:r w:rsidR="00482FE2">
        <w:t>9</w:t>
      </w:r>
      <w:r w:rsidR="00A22410">
        <w:t xml:space="preserve"> год по причине</w:t>
      </w:r>
      <w:r w:rsidR="00C17813">
        <w:t xml:space="preserve"> исправления ошибок прошлых лет.</w:t>
      </w:r>
    </w:p>
    <w:p w:rsidR="00335C90" w:rsidRPr="00335C90" w:rsidRDefault="00335C90" w:rsidP="006735B5">
      <w:pPr>
        <w:spacing w:line="240" w:lineRule="auto"/>
      </w:pPr>
      <w:r w:rsidRPr="00335C90">
        <w:t xml:space="preserve">В составе дебиторской и кредиторской задолженности </w:t>
      </w:r>
      <w:r w:rsidR="008057C9">
        <w:t>местного</w:t>
      </w:r>
      <w:r w:rsidRPr="00335C90">
        <w:t xml:space="preserve"> бюджета по счету 205 00 000 «Расчеты по доходам» отражены суммы задолженности по доходам, администрируемым не только субъектами бюджетной отчетности </w:t>
      </w:r>
      <w:proofErr w:type="spellStart"/>
      <w:r w:rsidR="00FA5990" w:rsidRPr="00FA5990">
        <w:t>Ипатовского</w:t>
      </w:r>
      <w:proofErr w:type="spellEnd"/>
      <w:r w:rsidR="00FA5990" w:rsidRPr="00FA5990">
        <w:t xml:space="preserve"> городского округа </w:t>
      </w:r>
      <w:r w:rsidRPr="00335C90">
        <w:t>Ставропольского края, но и территориальными органами федеральных органов исполнительной власти.</w:t>
      </w:r>
    </w:p>
    <w:p w:rsidR="00335C90" w:rsidRPr="00335C90" w:rsidRDefault="00335C90" w:rsidP="006735B5">
      <w:pPr>
        <w:spacing w:line="240" w:lineRule="auto"/>
      </w:pPr>
      <w:r w:rsidRPr="00335C90">
        <w:t xml:space="preserve">Общая сумма дебиторской задолженности по счету 20500000 «Расчеты по доходам» на начало финансового года составляла </w:t>
      </w:r>
      <w:r w:rsidR="00C22A27">
        <w:t>4569177,93</w:t>
      </w:r>
      <w:r w:rsidRPr="00335C90">
        <w:t xml:space="preserve"> тыс. рублей, по состоянию на 01.01.20</w:t>
      </w:r>
      <w:r w:rsidR="00901112">
        <w:t>2</w:t>
      </w:r>
      <w:r w:rsidR="00C22A27">
        <w:t>1</w:t>
      </w:r>
      <w:r w:rsidR="002336F1">
        <w:t xml:space="preserve"> года</w:t>
      </w:r>
      <w:r w:rsidRPr="00335C90">
        <w:t xml:space="preserve"> объем названной задолженности </w:t>
      </w:r>
      <w:r w:rsidR="009B7370">
        <w:t>увеличился</w:t>
      </w:r>
      <w:r w:rsidRPr="00335C90">
        <w:t xml:space="preserve"> на </w:t>
      </w:r>
      <w:r w:rsidR="008B57E1">
        <w:t>553666,70</w:t>
      </w:r>
      <w:r w:rsidRPr="00335C90">
        <w:t xml:space="preserve"> тыс. рублей и составил </w:t>
      </w:r>
      <w:r w:rsidR="00C22A27">
        <w:t>5122844,63</w:t>
      </w:r>
      <w:r w:rsidRPr="00335C90">
        <w:t xml:space="preserve"> тыс. рублей</w:t>
      </w:r>
      <w:r w:rsidR="004C2823">
        <w:t xml:space="preserve">, в том числе просроченная задолженность составила </w:t>
      </w:r>
      <w:r w:rsidR="008B57E1">
        <w:t>18593,61</w:t>
      </w:r>
      <w:r w:rsidR="004C2823">
        <w:t xml:space="preserve"> тыс. рублей</w:t>
      </w:r>
      <w:r w:rsidRPr="00335C90">
        <w:t>.</w:t>
      </w:r>
    </w:p>
    <w:p w:rsidR="00335C90" w:rsidRDefault="00867AF5" w:rsidP="006735B5">
      <w:pPr>
        <w:spacing w:line="240" w:lineRule="auto"/>
      </w:pPr>
      <w:r>
        <w:t xml:space="preserve">Наибольший объем </w:t>
      </w:r>
      <w:r w:rsidR="003D610B">
        <w:t>в</w:t>
      </w:r>
      <w:r w:rsidR="00335C90" w:rsidRPr="00335C90">
        <w:t xml:space="preserve"> </w:t>
      </w:r>
      <w:r w:rsidR="003D610B">
        <w:t>структуре</w:t>
      </w:r>
      <w:r w:rsidR="00335C90" w:rsidRPr="00335C90">
        <w:t xml:space="preserve"> дебиторской задолженности</w:t>
      </w:r>
      <w:r w:rsidR="003D610B">
        <w:t xml:space="preserve"> по доходам </w:t>
      </w:r>
      <w:r w:rsidR="003D610B" w:rsidRPr="003D610B">
        <w:t xml:space="preserve">в сумме </w:t>
      </w:r>
      <w:r w:rsidR="00221AA2">
        <w:t>4223910,27</w:t>
      </w:r>
      <w:r w:rsidR="003D610B" w:rsidRPr="003D610B">
        <w:t xml:space="preserve"> тыс. рублей или </w:t>
      </w:r>
      <w:r w:rsidR="00221AA2">
        <w:t>82,5</w:t>
      </w:r>
      <w:r w:rsidR="003D610B" w:rsidRPr="003D610B">
        <w:t xml:space="preserve"> %</w:t>
      </w:r>
      <w:r w:rsidR="003D610B">
        <w:t xml:space="preserve"> составляет</w:t>
      </w:r>
      <w:r w:rsidR="00AE2903">
        <w:t xml:space="preserve"> задолженность</w:t>
      </w:r>
      <w:r w:rsidR="00335C90" w:rsidRPr="00335C90">
        <w:t xml:space="preserve"> </w:t>
      </w:r>
      <w:r w:rsidR="009F491A" w:rsidRPr="009F491A">
        <w:t xml:space="preserve">по счету </w:t>
      </w:r>
      <w:r w:rsidR="00252063">
        <w:t xml:space="preserve">           </w:t>
      </w:r>
      <w:r w:rsidR="009F491A" w:rsidRPr="009F491A">
        <w:t>120551000 «Расчеты по поступлениям от других бюджетов бюджетной системы Российской Федерации»</w:t>
      </w:r>
      <w:r w:rsidR="00341003" w:rsidRPr="00341003">
        <w:t>.</w:t>
      </w:r>
    </w:p>
    <w:p w:rsidR="00341003" w:rsidRPr="00335C90" w:rsidRDefault="00341003" w:rsidP="006735B5">
      <w:pPr>
        <w:spacing w:line="240" w:lineRule="auto"/>
      </w:pPr>
      <w:proofErr w:type="gramStart"/>
      <w:r>
        <w:t xml:space="preserve">Также значительный объем в структуре дебиторской задолженности по доходам на конец </w:t>
      </w:r>
      <w:r w:rsidR="0014542F">
        <w:t>20</w:t>
      </w:r>
      <w:r w:rsidR="001F1B57">
        <w:t>20</w:t>
      </w:r>
      <w:r w:rsidR="0014542F">
        <w:t xml:space="preserve"> года составила задолженность по счету </w:t>
      </w:r>
      <w:r w:rsidR="00D75744">
        <w:t>120523000 «</w:t>
      </w:r>
      <w:r w:rsidR="00D75744" w:rsidRPr="00D75744">
        <w:t>Расчеты по доходам от платежей при пользовании природными ресурсами</w:t>
      </w:r>
      <w:r w:rsidR="00D75744">
        <w:t xml:space="preserve">» в сумме </w:t>
      </w:r>
      <w:r w:rsidR="001F1B57">
        <w:t>874282,60</w:t>
      </w:r>
      <w:r w:rsidR="00D75744">
        <w:t xml:space="preserve"> тыс. рублей</w:t>
      </w:r>
      <w:r w:rsidR="00414235">
        <w:t xml:space="preserve"> или </w:t>
      </w:r>
      <w:r w:rsidR="001F1B57">
        <w:t>17,1</w:t>
      </w:r>
      <w:r w:rsidR="00414235">
        <w:t xml:space="preserve"> % общего объема задолженности по доходам,</w:t>
      </w:r>
      <w:r w:rsidR="009F491A" w:rsidRPr="009F491A">
        <w:t xml:space="preserve"> по счету 120511000 «Расчеты с плательщиками налоговых доходов» учтена сумма задолженности по налогам, начисленным УФНС по СК в размере </w:t>
      </w:r>
      <w:r w:rsidR="00610B7E">
        <w:t xml:space="preserve">                  </w:t>
      </w:r>
      <w:r w:rsidR="00B678D9">
        <w:t>18414,50</w:t>
      </w:r>
      <w:r w:rsidR="009F491A" w:rsidRPr="009F491A">
        <w:t xml:space="preserve"> тыс</w:t>
      </w:r>
      <w:proofErr w:type="gramEnd"/>
      <w:r w:rsidR="009F491A" w:rsidRPr="009F491A">
        <w:t xml:space="preserve">. </w:t>
      </w:r>
      <w:proofErr w:type="gramStart"/>
      <w:r w:rsidR="009F491A" w:rsidRPr="009F491A">
        <w:t>рублей</w:t>
      </w:r>
      <w:r w:rsidR="009F491A">
        <w:t xml:space="preserve"> или </w:t>
      </w:r>
      <w:r w:rsidR="007B7A0C">
        <w:t>0,</w:t>
      </w:r>
      <w:r w:rsidR="00B678D9">
        <w:t>4</w:t>
      </w:r>
      <w:r w:rsidR="007B7A0C">
        <w:t xml:space="preserve"> %</w:t>
      </w:r>
      <w:r w:rsidR="009F491A" w:rsidRPr="009F491A">
        <w:t>, являющейся просроченной задолженностью организаций, индивидуальных предпринимателей и физических лиц по налогам, сборам, взносам, пеням и штрафам, процентам, за исключением отсроченных (рассроченных) платежей, и включающая в себя задолженность по текущим платежам и задолженность, до начисленную по результатам налоговых проверок</w:t>
      </w:r>
      <w:r w:rsidR="00E42DD7">
        <w:t>.</w:t>
      </w:r>
      <w:proofErr w:type="gramEnd"/>
    </w:p>
    <w:p w:rsidR="00335C90" w:rsidRDefault="00335C90" w:rsidP="006735B5">
      <w:pPr>
        <w:spacing w:line="240" w:lineRule="auto"/>
      </w:pPr>
      <w:r w:rsidRPr="00335C90">
        <w:t>Общая сумма кредиторской задолженности по счету</w:t>
      </w:r>
      <w:r w:rsidR="00096936">
        <w:t xml:space="preserve"> 1</w:t>
      </w:r>
      <w:r w:rsidRPr="00335C90">
        <w:t>20500000 «Расчеты по доходам» в течение 20</w:t>
      </w:r>
      <w:r w:rsidR="00B678D9">
        <w:t>20</w:t>
      </w:r>
      <w:r w:rsidRPr="00335C90">
        <w:t xml:space="preserve"> года </w:t>
      </w:r>
      <w:r w:rsidR="000E4D24">
        <w:t>уменьшилась</w:t>
      </w:r>
      <w:r w:rsidRPr="00335C90">
        <w:t xml:space="preserve"> на </w:t>
      </w:r>
      <w:r w:rsidR="000E4D24">
        <w:t>102328,68</w:t>
      </w:r>
      <w:r w:rsidRPr="00335C90">
        <w:t xml:space="preserve"> тыс. рублей и составила </w:t>
      </w:r>
      <w:r w:rsidR="00B678D9">
        <w:t>32257,63</w:t>
      </w:r>
      <w:r w:rsidRPr="00335C90">
        <w:t xml:space="preserve"> тыс. рублей.</w:t>
      </w:r>
    </w:p>
    <w:p w:rsidR="00CD16B1" w:rsidRPr="00335C90" w:rsidRDefault="00CD16B1" w:rsidP="006735B5">
      <w:pPr>
        <w:spacing w:line="240" w:lineRule="auto"/>
      </w:pPr>
      <w:r>
        <w:lastRenderedPageBreak/>
        <w:t xml:space="preserve">Наибольший объем в структуре </w:t>
      </w:r>
      <w:r w:rsidRPr="00CD16B1">
        <w:t>кредиторской задолженности</w:t>
      </w:r>
      <w:r w:rsidR="00A97C2A">
        <w:t xml:space="preserve"> по доходам в сумме </w:t>
      </w:r>
      <w:r w:rsidR="001B5CD9">
        <w:t xml:space="preserve">32146,12 </w:t>
      </w:r>
      <w:r w:rsidR="00D911C6">
        <w:t xml:space="preserve"> тыс. рублей или </w:t>
      </w:r>
      <w:r w:rsidR="001B5CD9">
        <w:t>99,7</w:t>
      </w:r>
      <w:r w:rsidR="00FC16CC">
        <w:t xml:space="preserve"> % составляет задолженность </w:t>
      </w:r>
      <w:r w:rsidR="001B5CD9" w:rsidRPr="001B5CD9">
        <w:t>по счету</w:t>
      </w:r>
      <w:r w:rsidR="00990B1B">
        <w:t xml:space="preserve">   </w:t>
      </w:r>
      <w:r w:rsidR="001B5CD9" w:rsidRPr="001B5CD9">
        <w:t xml:space="preserve"> 120511000 «Расчеты с плательщиками налоговых доходов»</w:t>
      </w:r>
      <w:r w:rsidR="00C51163">
        <w:t xml:space="preserve"> - учтена задолженность в сумме 32168,78</w:t>
      </w:r>
      <w:r w:rsidR="001B5CD9" w:rsidRPr="001B5CD9">
        <w:t xml:space="preserve"> тыс. рублей по налогам, начисленным УФНС по СК.</w:t>
      </w:r>
    </w:p>
    <w:p w:rsidR="00335C90" w:rsidRPr="00335C90" w:rsidRDefault="00335C90" w:rsidP="006735B5">
      <w:pPr>
        <w:spacing w:line="240" w:lineRule="auto"/>
      </w:pPr>
      <w:r w:rsidRPr="00335C90">
        <w:t>Информация о составе и структуре дебиторской и кредиторской задолженности субъектов бюджетной отчетности</w:t>
      </w:r>
      <w:r w:rsidR="0074242A">
        <w:t xml:space="preserve"> </w:t>
      </w:r>
      <w:proofErr w:type="spellStart"/>
      <w:r w:rsidR="0074242A" w:rsidRPr="0074242A">
        <w:t>Ипатовского</w:t>
      </w:r>
      <w:proofErr w:type="spellEnd"/>
      <w:r w:rsidR="0074242A" w:rsidRPr="0074242A">
        <w:t xml:space="preserve"> городского округа</w:t>
      </w:r>
      <w:r w:rsidRPr="00335C90">
        <w:t xml:space="preserve"> Ставропольского края, сформированная на основании сведений о дебиторской и кредиторской задолженности (форма 0503169) без учета счета 20500000 «Расчеты по доходам», представлена в следующей таблице:</w:t>
      </w:r>
    </w:p>
    <w:p w:rsidR="002827C1" w:rsidRPr="00335C90" w:rsidRDefault="00335C90" w:rsidP="006735B5">
      <w:pPr>
        <w:spacing w:line="240" w:lineRule="auto"/>
      </w:pPr>
      <w:r w:rsidRPr="00335C90">
        <w:t> 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842"/>
        <w:gridCol w:w="1843"/>
        <w:gridCol w:w="1559"/>
        <w:gridCol w:w="1701"/>
      </w:tblGrid>
      <w:tr w:rsidR="002827C1" w:rsidRPr="002827C1" w:rsidTr="00D05585">
        <w:trPr>
          <w:trHeight w:val="701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Бюджетная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7A06C4" w:rsidRPr="002827C1" w:rsidTr="00D05585">
        <w:trPr>
          <w:trHeight w:val="555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на 01.01.2020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на 01.01.2021 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тыс. рублей (гр.3 - гр.2)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% ((гр.3/гр.2)*100-100)</w:t>
            </w:r>
          </w:p>
        </w:tc>
      </w:tr>
      <w:tr w:rsidR="007A06C4" w:rsidRPr="002827C1" w:rsidTr="00D05585">
        <w:trPr>
          <w:trHeight w:val="9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Дебиторская задолженность,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545,42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-445,78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-45,0</w:t>
            </w:r>
          </w:p>
        </w:tc>
      </w:tr>
      <w:tr w:rsidR="007A06C4" w:rsidRPr="002827C1" w:rsidTr="00D05585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539,65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431,58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-108,07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-20,0</w:t>
            </w:r>
          </w:p>
        </w:tc>
      </w:tr>
      <w:tr w:rsidR="007A06C4" w:rsidRPr="002827C1" w:rsidTr="00D05585">
        <w:trPr>
          <w:trHeight w:val="7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-21,03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-100,0</w:t>
            </w:r>
          </w:p>
        </w:tc>
      </w:tr>
      <w:tr w:rsidR="007A06C4" w:rsidRPr="002827C1" w:rsidTr="00D05585">
        <w:trPr>
          <w:trHeight w:val="8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430,52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-316,68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-73,6</w:t>
            </w:r>
          </w:p>
        </w:tc>
      </w:tr>
      <w:tr w:rsidR="007A06C4" w:rsidRPr="002827C1" w:rsidTr="00D05585">
        <w:trPr>
          <w:trHeight w:val="9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Кредиторская задолженность,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3201,98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71947,46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68745,48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B11E06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 в 22,5 раза</w:t>
            </w:r>
          </w:p>
        </w:tc>
      </w:tr>
      <w:tr w:rsidR="007A06C4" w:rsidRPr="002827C1" w:rsidTr="00D05585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3117,26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3145,13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7A06C4" w:rsidRPr="002827C1" w:rsidTr="00D05585">
        <w:trPr>
          <w:trHeight w:val="8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84,72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68802,33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2827C1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7C1">
              <w:rPr>
                <w:color w:val="000000"/>
                <w:sz w:val="24"/>
                <w:szCs w:val="24"/>
              </w:rPr>
              <w:t>68717,61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C1" w:rsidRPr="002827C1" w:rsidRDefault="00B402C4" w:rsidP="00282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 в 812 раз</w:t>
            </w:r>
          </w:p>
        </w:tc>
      </w:tr>
    </w:tbl>
    <w:p w:rsidR="00335C90" w:rsidRPr="00335C90" w:rsidRDefault="00335C90" w:rsidP="006735B5">
      <w:pPr>
        <w:spacing w:line="240" w:lineRule="auto"/>
      </w:pPr>
    </w:p>
    <w:p w:rsidR="00335C90" w:rsidRDefault="00335C90" w:rsidP="006735B5">
      <w:pPr>
        <w:spacing w:line="240" w:lineRule="auto"/>
      </w:pPr>
      <w:r w:rsidRPr="00335C90">
        <w:t>Из данных таблицы следует, что в течение 20</w:t>
      </w:r>
      <w:r w:rsidR="007A06C4">
        <w:t>20</w:t>
      </w:r>
      <w:r w:rsidRPr="00335C90">
        <w:t xml:space="preserve"> года общий объем как дебиторской</w:t>
      </w:r>
      <w:r w:rsidR="00B402C4">
        <w:t xml:space="preserve"> задолженности снизился</w:t>
      </w:r>
      <w:r w:rsidR="007624BD" w:rsidRPr="007624BD">
        <w:t xml:space="preserve"> на </w:t>
      </w:r>
      <w:r w:rsidR="007624BD">
        <w:t>445,78</w:t>
      </w:r>
      <w:r w:rsidR="007624BD" w:rsidRPr="007624BD">
        <w:t xml:space="preserve"> тыс. рублей или на </w:t>
      </w:r>
      <w:r w:rsidR="007624BD">
        <w:t>45,0</w:t>
      </w:r>
      <w:r w:rsidR="007624BD" w:rsidRPr="007624BD">
        <w:t xml:space="preserve"> %</w:t>
      </w:r>
      <w:r w:rsidRPr="00335C90">
        <w:t xml:space="preserve">, </w:t>
      </w:r>
      <w:r w:rsidR="007624BD">
        <w:t>а</w:t>
      </w:r>
      <w:r w:rsidRPr="00335C90">
        <w:t xml:space="preserve"> кредиторск</w:t>
      </w:r>
      <w:r w:rsidR="007624BD">
        <w:t xml:space="preserve">ая </w:t>
      </w:r>
      <w:r w:rsidRPr="00335C90">
        <w:t xml:space="preserve"> задолженност</w:t>
      </w:r>
      <w:r w:rsidR="007624BD">
        <w:t>ь</w:t>
      </w:r>
      <w:r w:rsidRPr="00335C90">
        <w:t xml:space="preserve"> </w:t>
      </w:r>
      <w:r w:rsidR="007624BD">
        <w:t>увеличилась</w:t>
      </w:r>
      <w:r w:rsidRPr="00335C90">
        <w:t xml:space="preserve"> на</w:t>
      </w:r>
      <w:r w:rsidR="00CB622C">
        <w:t xml:space="preserve"> </w:t>
      </w:r>
      <w:r w:rsidR="007624BD">
        <w:t>68745,48</w:t>
      </w:r>
      <w:r w:rsidR="00CB622C">
        <w:t xml:space="preserve"> </w:t>
      </w:r>
      <w:r w:rsidRPr="00335C90">
        <w:t xml:space="preserve">тыс. рублей или </w:t>
      </w:r>
      <w:r w:rsidR="00F40B94">
        <w:t xml:space="preserve">в </w:t>
      </w:r>
      <w:r w:rsidR="00096936">
        <w:t xml:space="preserve">     </w:t>
      </w:r>
      <w:r w:rsidR="00F40B94">
        <w:t>22,5 раза.</w:t>
      </w:r>
    </w:p>
    <w:p w:rsidR="000A1471" w:rsidRDefault="00335C90" w:rsidP="006735B5">
      <w:pPr>
        <w:spacing w:line="240" w:lineRule="auto"/>
      </w:pPr>
      <w:r w:rsidRPr="00335C90">
        <w:t xml:space="preserve">По счету 120600000 «Расчеты по выданным авансам» общий размер дебиторской задолженности составил </w:t>
      </w:r>
      <w:r w:rsidR="00F40B94">
        <w:t>431,58</w:t>
      </w:r>
      <w:r w:rsidRPr="00335C90">
        <w:t xml:space="preserve"> тыс. рублей и </w:t>
      </w:r>
      <w:r w:rsidR="00F40B94">
        <w:t xml:space="preserve">снизился </w:t>
      </w:r>
      <w:r w:rsidRPr="00335C90">
        <w:t xml:space="preserve"> по сравнению с прошлым годом на </w:t>
      </w:r>
      <w:r w:rsidR="00F40B94">
        <w:t>108,07</w:t>
      </w:r>
      <w:r w:rsidRPr="00335C90">
        <w:t xml:space="preserve"> тыс. рублей (</w:t>
      </w:r>
      <w:r w:rsidR="009305F3">
        <w:t xml:space="preserve">20,0 </w:t>
      </w:r>
      <w:r w:rsidR="00E406AC">
        <w:t>%)</w:t>
      </w:r>
      <w:r w:rsidRPr="00335C90">
        <w:t xml:space="preserve">. Задолженность по выданным авансам образовалась в большей части по счету </w:t>
      </w:r>
      <w:r w:rsidR="00096936">
        <w:t>1</w:t>
      </w:r>
      <w:r w:rsidRPr="00335C90">
        <w:t>206</w:t>
      </w:r>
      <w:r w:rsidR="00556008">
        <w:t>26</w:t>
      </w:r>
      <w:r w:rsidRPr="00335C90">
        <w:t>000 «</w:t>
      </w:r>
      <w:r w:rsidR="00556008" w:rsidRPr="00556008">
        <w:t xml:space="preserve">Расчеты </w:t>
      </w:r>
      <w:r w:rsidR="00556008" w:rsidRPr="00556008">
        <w:lastRenderedPageBreak/>
        <w:t>по авансам по прочим работам, услугам</w:t>
      </w:r>
      <w:r w:rsidRPr="00335C90">
        <w:t xml:space="preserve">» и составила </w:t>
      </w:r>
      <w:r w:rsidR="005C0A73">
        <w:t>235,01</w:t>
      </w:r>
      <w:r w:rsidRPr="00335C90">
        <w:t xml:space="preserve"> тыс. рублей</w:t>
      </w:r>
      <w:r w:rsidR="000A1471">
        <w:t xml:space="preserve"> или </w:t>
      </w:r>
      <w:r w:rsidR="005C0A73">
        <w:t>54,4</w:t>
      </w:r>
      <w:r w:rsidR="00CB2318">
        <w:t xml:space="preserve"> %</w:t>
      </w:r>
      <w:r w:rsidRPr="007D6779">
        <w:t>.</w:t>
      </w:r>
    </w:p>
    <w:p w:rsidR="00DA0046" w:rsidRDefault="00335C90" w:rsidP="006735B5">
      <w:pPr>
        <w:spacing w:line="240" w:lineRule="auto"/>
      </w:pPr>
      <w:r w:rsidRPr="00335C90">
        <w:t xml:space="preserve"> </w:t>
      </w:r>
      <w:r w:rsidR="003814C3">
        <w:t>Дебиторская и к</w:t>
      </w:r>
      <w:r w:rsidR="00DA0046">
        <w:t xml:space="preserve">редиторская задолженность </w:t>
      </w:r>
      <w:r w:rsidR="00E7739C">
        <w:t>п</w:t>
      </w:r>
      <w:r w:rsidR="00E7739C" w:rsidRPr="00E7739C">
        <w:t xml:space="preserve">о счету 120800000 «Расчеты с подотчетными лицами» </w:t>
      </w:r>
      <w:r w:rsidR="00D05585">
        <w:t>на 01.01.</w:t>
      </w:r>
      <w:r w:rsidR="00E7739C">
        <w:t>202</w:t>
      </w:r>
      <w:r w:rsidR="003814C3">
        <w:t>1</w:t>
      </w:r>
      <w:r w:rsidR="00E7739C">
        <w:t xml:space="preserve"> года </w:t>
      </w:r>
      <w:r w:rsidR="00DA0046">
        <w:t>отсутствует</w:t>
      </w:r>
      <w:r w:rsidR="00E7739C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 Кредиторская задолженность расчетов по ущербу </w:t>
      </w:r>
      <w:r w:rsidR="00411EFB" w:rsidRPr="00411EFB">
        <w:t>и иным доходам</w:t>
      </w:r>
      <w:r w:rsidRPr="00335C90">
        <w:t xml:space="preserve"> </w:t>
      </w:r>
      <w:r w:rsidR="00411EFB">
        <w:t>отсутствует</w:t>
      </w:r>
      <w:r w:rsidRPr="00335C90">
        <w:t>.</w:t>
      </w:r>
    </w:p>
    <w:p w:rsidR="00335C90" w:rsidRPr="00335C90" w:rsidRDefault="00335C90" w:rsidP="006735B5">
      <w:pPr>
        <w:spacing w:line="240" w:lineRule="auto"/>
      </w:pPr>
      <w:r w:rsidRPr="00335C90">
        <w:t xml:space="preserve">На конец отчетного периода объем кредиторской задолженности по счету 130200000 «Расчеты по принятым обязательствам» </w:t>
      </w:r>
      <w:r w:rsidR="00DB3745">
        <w:t>увеличился</w:t>
      </w:r>
      <w:r w:rsidRPr="00335C90">
        <w:t xml:space="preserve"> по сравнению с началом года на </w:t>
      </w:r>
      <w:r w:rsidR="00DB3745">
        <w:t>27,87</w:t>
      </w:r>
      <w:r w:rsidRPr="00335C90">
        <w:t xml:space="preserve"> тыс. рублей </w:t>
      </w:r>
      <w:r w:rsidR="008D65E8">
        <w:t>(</w:t>
      </w:r>
      <w:r w:rsidR="00DB3745">
        <w:t>0,9</w:t>
      </w:r>
      <w:r w:rsidR="00393621">
        <w:t xml:space="preserve"> </w:t>
      </w:r>
      <w:r w:rsidR="008D65E8">
        <w:t>%)</w:t>
      </w:r>
      <w:r w:rsidRPr="00335C90">
        <w:t xml:space="preserve"> и составил </w:t>
      </w:r>
      <w:r w:rsidR="00DB3745">
        <w:t>3145,13</w:t>
      </w:r>
      <w:r w:rsidRPr="00335C90">
        <w:t xml:space="preserve"> тыс. рублей.</w:t>
      </w:r>
    </w:p>
    <w:p w:rsidR="00AE4048" w:rsidRDefault="00335C90" w:rsidP="006735B5">
      <w:pPr>
        <w:spacing w:line="240" w:lineRule="auto"/>
      </w:pPr>
      <w:r w:rsidRPr="00335C90">
        <w:t xml:space="preserve">Наибольшая сумма кредиторской задолженности сложилась по счетам 130223000 «Расчеты по коммунальным услугам» в сумме </w:t>
      </w:r>
      <w:r w:rsidR="00E41E81">
        <w:t>1808,48</w:t>
      </w:r>
      <w:r w:rsidR="00A76CD7">
        <w:t xml:space="preserve"> </w:t>
      </w:r>
      <w:r w:rsidRPr="00335C90">
        <w:t>тыс. рублей, а также по счету 1302</w:t>
      </w:r>
      <w:r w:rsidR="0086330B">
        <w:t>41</w:t>
      </w:r>
      <w:r w:rsidRPr="00335C90">
        <w:t>000 «</w:t>
      </w:r>
      <w:r w:rsidR="00491831" w:rsidRPr="00491831">
        <w:t>Расчеты по безвозмездным перечислениям государственным и муниципальным организациям</w:t>
      </w:r>
      <w:r w:rsidRPr="00335C90">
        <w:t xml:space="preserve">» в сумме </w:t>
      </w:r>
      <w:r w:rsidR="00491831">
        <w:t>432,16</w:t>
      </w:r>
      <w:r w:rsidRPr="00335C90">
        <w:t xml:space="preserve"> тыс. рублей. </w:t>
      </w:r>
    </w:p>
    <w:p w:rsidR="00335C90" w:rsidRPr="00335C90" w:rsidRDefault="00335C90" w:rsidP="006735B5">
      <w:pPr>
        <w:spacing w:line="240" w:lineRule="auto"/>
      </w:pPr>
      <w:r w:rsidRPr="00335C90">
        <w:t>По счету 130300000 «Расчеты по платежам бюджет» текущая дебиторская задолженность у</w:t>
      </w:r>
      <w:r w:rsidR="00694521">
        <w:t>меньши</w:t>
      </w:r>
      <w:r w:rsidRPr="00335C90">
        <w:t xml:space="preserve">лась в течение года на </w:t>
      </w:r>
      <w:r w:rsidR="0086330B">
        <w:t>316,68</w:t>
      </w:r>
      <w:r w:rsidRPr="00335C90">
        <w:t xml:space="preserve"> тыс. рублей или </w:t>
      </w:r>
      <w:r w:rsidR="0086330B">
        <w:t>73,6</w:t>
      </w:r>
      <w:r w:rsidR="008015DF">
        <w:t xml:space="preserve"> </w:t>
      </w:r>
      <w:r w:rsidRPr="00335C90">
        <w:t xml:space="preserve">% и составила </w:t>
      </w:r>
      <w:r w:rsidR="0086330B">
        <w:t>113,84</w:t>
      </w:r>
      <w:r w:rsidRPr="00335C90">
        <w:t xml:space="preserve"> тыс. рублей. Основной объем дебиторской задолженности по платежам в бюджет </w:t>
      </w:r>
      <w:r w:rsidR="004C6318">
        <w:t>–</w:t>
      </w:r>
      <w:r w:rsidRPr="00335C90">
        <w:t xml:space="preserve"> </w:t>
      </w:r>
      <w:r w:rsidR="00376CB3">
        <w:t>89,93</w:t>
      </w:r>
      <w:r w:rsidRPr="00335C90">
        <w:t xml:space="preserve"> тыс. рублей или </w:t>
      </w:r>
      <w:r w:rsidR="00376CB3">
        <w:t>79,0</w:t>
      </w:r>
      <w:r w:rsidR="009B166D">
        <w:t xml:space="preserve"> </w:t>
      </w:r>
      <w:r w:rsidRPr="00335C90">
        <w:t xml:space="preserve">% приходится на задолженность </w:t>
      </w:r>
      <w:r w:rsidR="00376CB3" w:rsidRPr="00376CB3">
        <w:t>по налогу на имущество организаций</w:t>
      </w:r>
      <w:r w:rsidRPr="00335C90">
        <w:t>.</w:t>
      </w:r>
    </w:p>
    <w:p w:rsidR="004B65D3" w:rsidRDefault="00335C90" w:rsidP="006735B5">
      <w:pPr>
        <w:spacing w:line="240" w:lineRule="auto"/>
      </w:pPr>
      <w:r w:rsidRPr="00335C90">
        <w:t xml:space="preserve">Текущая кредиторская задолженность по счету 130300000 «Расчеты по платежам в бюджеты» составила </w:t>
      </w:r>
      <w:r w:rsidR="00424DB7">
        <w:t>68802,33</w:t>
      </w:r>
      <w:r w:rsidRPr="00335C90">
        <w:t xml:space="preserve"> тыс. рублей. В составе кредиторской задолженности расчетов по платежам в бюджеты, задолженность </w:t>
      </w:r>
      <w:r w:rsidR="00424DB7">
        <w:t>расчетов</w:t>
      </w:r>
      <w:r w:rsidR="00424DB7" w:rsidRPr="00424DB7">
        <w:t xml:space="preserve"> по прочим платежам в бюджет</w:t>
      </w:r>
      <w:r w:rsidRPr="00335C90">
        <w:t xml:space="preserve"> составила </w:t>
      </w:r>
      <w:r w:rsidR="00424DB7">
        <w:t>68793,49</w:t>
      </w:r>
      <w:r w:rsidRPr="00335C90">
        <w:t xml:space="preserve"> тыс. рублей или </w:t>
      </w:r>
      <w:r w:rsidR="009635F5">
        <w:t>99,9</w:t>
      </w:r>
      <w:r w:rsidR="004B65D3">
        <w:t xml:space="preserve"> </w:t>
      </w:r>
      <w:r w:rsidRPr="00335C90">
        <w:t xml:space="preserve">%. </w:t>
      </w:r>
    </w:p>
    <w:p w:rsidR="00335C90" w:rsidRDefault="00335C90" w:rsidP="006735B5">
      <w:pPr>
        <w:spacing w:line="240" w:lineRule="auto"/>
      </w:pPr>
      <w:r w:rsidRPr="00335C90">
        <w:t xml:space="preserve">Информация о состоянии дебиторской и кредиторской задолженности в разрезе главных распорядителей средств </w:t>
      </w:r>
      <w:r w:rsidR="00D82020">
        <w:t>местного</w:t>
      </w:r>
      <w:r w:rsidRPr="00335C90">
        <w:t xml:space="preserve"> бюджета приведена в </w:t>
      </w:r>
      <w:r w:rsidR="00670C32">
        <w:t>следующей таблице:</w:t>
      </w:r>
    </w:p>
    <w:p w:rsidR="001C5AF9" w:rsidRDefault="001C5AF9" w:rsidP="006735B5">
      <w:pPr>
        <w:spacing w:line="240" w:lineRule="auto"/>
        <w:jc w:val="right"/>
      </w:pPr>
      <w:r>
        <w:t>тыс. рублей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7"/>
        <w:gridCol w:w="1418"/>
        <w:gridCol w:w="1417"/>
        <w:gridCol w:w="1276"/>
      </w:tblGrid>
      <w:tr w:rsidR="009971C1" w:rsidRPr="009B504D" w:rsidTr="00FD188B">
        <w:trPr>
          <w:trHeight w:val="848"/>
          <w:tblHeader/>
        </w:trPr>
        <w:tc>
          <w:tcPr>
            <w:tcW w:w="1526" w:type="dxa"/>
            <w:vMerge w:val="restart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Н</w:t>
            </w:r>
            <w:r w:rsidR="00D47249" w:rsidRPr="009B504D">
              <w:rPr>
                <w:b/>
                <w:bCs/>
                <w:sz w:val="24"/>
                <w:szCs w:val="24"/>
              </w:rPr>
              <w:t>а</w:t>
            </w:r>
            <w:r w:rsidRPr="009B504D">
              <w:rPr>
                <w:b/>
                <w:bCs/>
                <w:sz w:val="24"/>
                <w:szCs w:val="24"/>
              </w:rPr>
              <w:t>именование ГРБС</w:t>
            </w:r>
          </w:p>
        </w:tc>
        <w:tc>
          <w:tcPr>
            <w:tcW w:w="2977" w:type="dxa"/>
            <w:gridSpan w:val="2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Дебиторская  задолженность на конец отчетного периода</w:t>
            </w:r>
          </w:p>
        </w:tc>
        <w:tc>
          <w:tcPr>
            <w:tcW w:w="1417" w:type="dxa"/>
            <w:vMerge w:val="restart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прирост/ снижение (гр.3- гр.2)</w:t>
            </w:r>
          </w:p>
        </w:tc>
        <w:tc>
          <w:tcPr>
            <w:tcW w:w="2835" w:type="dxa"/>
            <w:gridSpan w:val="2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Кредиторская  задолженность на конец отчетного периода</w:t>
            </w:r>
          </w:p>
        </w:tc>
        <w:tc>
          <w:tcPr>
            <w:tcW w:w="1276" w:type="dxa"/>
            <w:vMerge w:val="restart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прирост/ снижение (гр.6- гр.5)</w:t>
            </w:r>
          </w:p>
        </w:tc>
      </w:tr>
      <w:tr w:rsidR="009B504D" w:rsidRPr="009B504D" w:rsidTr="00FD188B">
        <w:trPr>
          <w:trHeight w:val="315"/>
          <w:tblHeader/>
        </w:trPr>
        <w:tc>
          <w:tcPr>
            <w:tcW w:w="1526" w:type="dxa"/>
            <w:vMerge/>
            <w:hideMark/>
          </w:tcPr>
          <w:p w:rsidR="00AD6854" w:rsidRPr="009B504D" w:rsidRDefault="00AD6854" w:rsidP="009B504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на 01.01.2020г</w:t>
            </w:r>
          </w:p>
        </w:tc>
        <w:tc>
          <w:tcPr>
            <w:tcW w:w="1418" w:type="dxa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на 01.01.2021г</w:t>
            </w:r>
          </w:p>
        </w:tc>
        <w:tc>
          <w:tcPr>
            <w:tcW w:w="1417" w:type="dxa"/>
            <w:vMerge/>
            <w:hideMark/>
          </w:tcPr>
          <w:p w:rsidR="00AD6854" w:rsidRPr="009B504D" w:rsidRDefault="00AD6854" w:rsidP="009B504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на 01.01.2020г</w:t>
            </w:r>
          </w:p>
        </w:tc>
        <w:tc>
          <w:tcPr>
            <w:tcW w:w="1417" w:type="dxa"/>
            <w:hideMark/>
          </w:tcPr>
          <w:p w:rsidR="00AD6854" w:rsidRPr="009B504D" w:rsidRDefault="00AD6854" w:rsidP="00FD188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на 01.01.2021г</w:t>
            </w:r>
          </w:p>
        </w:tc>
        <w:tc>
          <w:tcPr>
            <w:tcW w:w="1276" w:type="dxa"/>
            <w:vMerge/>
            <w:hideMark/>
          </w:tcPr>
          <w:p w:rsidR="00AD6854" w:rsidRPr="009B504D" w:rsidRDefault="00AD6854" w:rsidP="00AD685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B504D" w:rsidRPr="009B504D" w:rsidTr="00FD188B">
        <w:trPr>
          <w:trHeight w:val="315"/>
        </w:trPr>
        <w:tc>
          <w:tcPr>
            <w:tcW w:w="1526" w:type="dxa"/>
            <w:hideMark/>
          </w:tcPr>
          <w:p w:rsidR="00AD6854" w:rsidRPr="009B504D" w:rsidRDefault="00AD6854" w:rsidP="00AD685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Всего, в том числе по ГРБС: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4547193,88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5104743,02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557549,14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108320,89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72036,30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504D">
              <w:rPr>
                <w:b/>
                <w:bCs/>
                <w:sz w:val="24"/>
                <w:szCs w:val="24"/>
              </w:rPr>
              <w:t>-36284,59</w:t>
            </w:r>
          </w:p>
        </w:tc>
      </w:tr>
      <w:tr w:rsidR="00AD6854" w:rsidRPr="009B504D" w:rsidTr="00FD188B">
        <w:trPr>
          <w:trHeight w:val="302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Дума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218,16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200,53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-17,63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14,86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41,90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27,04</w:t>
            </w:r>
          </w:p>
        </w:tc>
      </w:tr>
      <w:tr w:rsidR="00AD6854" w:rsidRPr="009B504D" w:rsidTr="00FD188B">
        <w:trPr>
          <w:trHeight w:val="594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27419,77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25776,24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-1643,53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33645,10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1952,04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-31693,06</w:t>
            </w:r>
          </w:p>
        </w:tc>
      </w:tr>
      <w:tr w:rsidR="00AD6854" w:rsidRPr="009B504D" w:rsidTr="00FD188B">
        <w:trPr>
          <w:trHeight w:val="810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862515,30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877963,88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15448,58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108,92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56,25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-52,67</w:t>
            </w:r>
          </w:p>
        </w:tc>
      </w:tr>
      <w:tr w:rsidR="00AD6854" w:rsidRPr="009B504D" w:rsidTr="00FD188B">
        <w:trPr>
          <w:trHeight w:val="544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1365732,16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</w:t>
            </w:r>
            <w:r w:rsidR="00D47249" w:rsidRPr="009B504D">
              <w:rPr>
                <w:sz w:val="24"/>
                <w:szCs w:val="24"/>
              </w:rPr>
              <w:t>212</w:t>
            </w:r>
            <w:r w:rsidRPr="009B504D">
              <w:rPr>
                <w:sz w:val="24"/>
                <w:szCs w:val="24"/>
              </w:rPr>
              <w:t>535,64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-153196,52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16,01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22,74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6,73</w:t>
            </w:r>
          </w:p>
        </w:tc>
      </w:tr>
      <w:tr w:rsidR="00AD6854" w:rsidRPr="009B504D" w:rsidTr="00FD188B">
        <w:trPr>
          <w:trHeight w:val="548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1113194,69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1282053,12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168858,43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2321,59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3695,60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1374,01</w:t>
            </w:r>
          </w:p>
        </w:tc>
      </w:tr>
      <w:tr w:rsidR="00AD6854" w:rsidRPr="009B504D" w:rsidTr="00FD188B">
        <w:trPr>
          <w:trHeight w:val="810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Отдел культуры и молодежной политики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4315,10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9187,18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4872,08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259,23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298,56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39,33</w:t>
            </w:r>
          </w:p>
        </w:tc>
      </w:tr>
      <w:tr w:rsidR="00AD6854" w:rsidRPr="009B504D" w:rsidTr="00FD188B">
        <w:trPr>
          <w:trHeight w:val="293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УТСЗН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1153826,44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1595997,50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442171,06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0,28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38,67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38,39</w:t>
            </w:r>
          </w:p>
        </w:tc>
      </w:tr>
      <w:tr w:rsidR="00AD6854" w:rsidRPr="009B504D" w:rsidTr="00FD188B">
        <w:trPr>
          <w:trHeight w:val="810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3777,93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8821,31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5043,38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0,05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5,98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5,93</w:t>
            </w:r>
          </w:p>
        </w:tc>
      </w:tr>
      <w:tr w:rsidR="00AD6854" w:rsidRPr="009B504D" w:rsidTr="00FD188B">
        <w:trPr>
          <w:trHeight w:val="810"/>
        </w:trPr>
        <w:tc>
          <w:tcPr>
            <w:tcW w:w="1526" w:type="dxa"/>
            <w:hideMark/>
          </w:tcPr>
          <w:p w:rsidR="00AD6854" w:rsidRPr="009B504D" w:rsidRDefault="00AD6854" w:rsidP="000904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Управление по работе с территориями</w:t>
            </w:r>
          </w:p>
        </w:tc>
        <w:tc>
          <w:tcPr>
            <w:tcW w:w="1559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16194,33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92207,62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76013,29</w:t>
            </w:r>
          </w:p>
        </w:tc>
        <w:tc>
          <w:tcPr>
            <w:tcW w:w="1418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71954,85</w:t>
            </w:r>
          </w:p>
        </w:tc>
        <w:tc>
          <w:tcPr>
            <w:tcW w:w="1417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65924,56</w:t>
            </w:r>
          </w:p>
        </w:tc>
        <w:tc>
          <w:tcPr>
            <w:tcW w:w="1276" w:type="dxa"/>
            <w:vAlign w:val="center"/>
            <w:hideMark/>
          </w:tcPr>
          <w:p w:rsidR="00AD6854" w:rsidRPr="009B504D" w:rsidRDefault="00AD6854" w:rsidP="00AA50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504D">
              <w:rPr>
                <w:sz w:val="24"/>
                <w:szCs w:val="24"/>
              </w:rPr>
              <w:t>-6030,29</w:t>
            </w:r>
          </w:p>
        </w:tc>
      </w:tr>
    </w:tbl>
    <w:p w:rsidR="00085D82" w:rsidRPr="00335C90" w:rsidRDefault="00085D82" w:rsidP="00085D82">
      <w:pPr>
        <w:spacing w:line="240" w:lineRule="auto"/>
        <w:ind w:firstLine="0"/>
      </w:pPr>
    </w:p>
    <w:p w:rsidR="00C10071" w:rsidRPr="00C10071" w:rsidRDefault="00C10071" w:rsidP="006735B5">
      <w:pPr>
        <w:spacing w:line="240" w:lineRule="auto"/>
        <w:rPr>
          <w:b/>
        </w:rPr>
      </w:pPr>
      <w:r w:rsidRPr="00C10071">
        <w:rPr>
          <w:b/>
        </w:rPr>
        <w:t>Предложения:</w:t>
      </w:r>
    </w:p>
    <w:p w:rsidR="00C10071" w:rsidRDefault="00C10071" w:rsidP="006735B5">
      <w:pPr>
        <w:spacing w:line="240" w:lineRule="auto"/>
      </w:pPr>
      <w:proofErr w:type="gramStart"/>
      <w:r>
        <w:t xml:space="preserve">В целом, показатели проекта </w:t>
      </w:r>
      <w:r w:rsidR="00563B5E">
        <w:t>р</w:t>
      </w:r>
      <w:r>
        <w:t xml:space="preserve">ешения соответствуют плановым показателям, утвержденным </w:t>
      </w:r>
      <w:r w:rsidR="000949A8">
        <w:t>р</w:t>
      </w:r>
      <w:r>
        <w:t xml:space="preserve">ешением Думы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</w:t>
      </w:r>
      <w:r w:rsidR="0043368A" w:rsidRPr="0043368A">
        <w:t>от 1</w:t>
      </w:r>
      <w:r w:rsidR="007113F3">
        <w:t>7</w:t>
      </w:r>
      <w:r w:rsidR="0043368A" w:rsidRPr="0043368A">
        <w:t>.12.201</w:t>
      </w:r>
      <w:r w:rsidR="007113F3">
        <w:t>9</w:t>
      </w:r>
      <w:r w:rsidR="0043368A" w:rsidRPr="0043368A">
        <w:t xml:space="preserve"> г</w:t>
      </w:r>
      <w:r w:rsidR="007C1BA2">
        <w:t>.</w:t>
      </w:r>
      <w:r w:rsidR="0043368A" w:rsidRPr="0043368A">
        <w:t xml:space="preserve"> № </w:t>
      </w:r>
      <w:r w:rsidR="007113F3">
        <w:t>117</w:t>
      </w:r>
      <w:r w:rsidR="0043368A" w:rsidRPr="0043368A">
        <w:t xml:space="preserve"> </w:t>
      </w:r>
      <w:r>
        <w:t xml:space="preserve">«О бюджете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20</w:t>
      </w:r>
      <w:r w:rsidR="007113F3">
        <w:t>20</w:t>
      </w:r>
      <w:r>
        <w:t xml:space="preserve"> год и на плановый период 20</w:t>
      </w:r>
      <w:r w:rsidR="00C73C26">
        <w:t>2</w:t>
      </w:r>
      <w:r w:rsidR="007113F3">
        <w:t>1</w:t>
      </w:r>
      <w:r>
        <w:t xml:space="preserve"> и 202</w:t>
      </w:r>
      <w:r w:rsidR="007113F3">
        <w:t>2</w:t>
      </w:r>
      <w:r>
        <w:t xml:space="preserve"> годов» и данным годового отчета об исполнении бюджета округа за 20</w:t>
      </w:r>
      <w:r w:rsidR="007113F3">
        <w:t>20</w:t>
      </w:r>
      <w:r>
        <w:t xml:space="preserve"> год, участниками бюджетного процесса в основном приняты меры по исполнению </w:t>
      </w:r>
      <w:r w:rsidR="00362919">
        <w:t>местного</w:t>
      </w:r>
      <w:r>
        <w:t xml:space="preserve"> бюджета</w:t>
      </w:r>
      <w:proofErr w:type="gramEnd"/>
      <w:r>
        <w:t xml:space="preserve"> в соответствии с </w:t>
      </w:r>
      <w:r w:rsidR="000949A8">
        <w:t>р</w:t>
      </w:r>
      <w:r>
        <w:t xml:space="preserve">ешением от </w:t>
      </w:r>
      <w:r w:rsidR="00C73C26">
        <w:t>1</w:t>
      </w:r>
      <w:r w:rsidR="00463622">
        <w:t>7</w:t>
      </w:r>
      <w:r w:rsidR="00362919" w:rsidRPr="00362919">
        <w:t>.12.201</w:t>
      </w:r>
      <w:r w:rsidR="00463622">
        <w:t>9</w:t>
      </w:r>
      <w:r w:rsidR="00362919" w:rsidRPr="00362919">
        <w:t xml:space="preserve"> г</w:t>
      </w:r>
      <w:r w:rsidR="007C1BA2">
        <w:t xml:space="preserve">.    </w:t>
      </w:r>
      <w:bookmarkStart w:id="0" w:name="_GoBack"/>
      <w:bookmarkEnd w:id="0"/>
      <w:r w:rsidR="00362919" w:rsidRPr="00362919">
        <w:t xml:space="preserve"> № </w:t>
      </w:r>
      <w:r w:rsidR="00463622">
        <w:t>117</w:t>
      </w:r>
      <w:r w:rsidR="00362919" w:rsidRPr="00362919">
        <w:t xml:space="preserve"> </w:t>
      </w:r>
      <w:r>
        <w:t>и действующим законодательством Российской Федерации.</w:t>
      </w:r>
    </w:p>
    <w:p w:rsidR="00C10071" w:rsidRDefault="00C10071" w:rsidP="006735B5">
      <w:pPr>
        <w:spacing w:line="240" w:lineRule="auto"/>
      </w:pPr>
      <w:r>
        <w:t>На основании вышеизложенного</w:t>
      </w:r>
      <w:r w:rsidR="007C1BA2">
        <w:t>,</w:t>
      </w:r>
      <w:r>
        <w:t xml:space="preserve"> Контрольно-счетная комиссия </w:t>
      </w:r>
      <w:proofErr w:type="spellStart"/>
      <w:r>
        <w:t>Ипатовского</w:t>
      </w:r>
      <w:proofErr w:type="spellEnd"/>
      <w:r>
        <w:t xml:space="preserve"> городского округа рекомендует Думе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принять  отчет об исполнении бюджета </w:t>
      </w:r>
      <w:proofErr w:type="spellStart"/>
      <w:r>
        <w:t>Ипатовского</w:t>
      </w:r>
      <w:proofErr w:type="spellEnd"/>
      <w:r>
        <w:t xml:space="preserve"> </w:t>
      </w:r>
      <w:r w:rsidR="00362919">
        <w:t>городского округа</w:t>
      </w:r>
      <w:r>
        <w:t xml:space="preserve"> Ставропольского края за 20</w:t>
      </w:r>
      <w:r w:rsidR="007113F3">
        <w:t>20</w:t>
      </w:r>
      <w:r>
        <w:t xml:space="preserve"> год.</w:t>
      </w:r>
    </w:p>
    <w:p w:rsidR="0080738F" w:rsidRDefault="0080738F" w:rsidP="006735B5">
      <w:pPr>
        <w:spacing w:line="240" w:lineRule="auto"/>
      </w:pPr>
    </w:p>
    <w:p w:rsidR="00C10071" w:rsidRDefault="00C10071" w:rsidP="006735B5">
      <w:pPr>
        <w:spacing w:line="240" w:lineRule="auto"/>
        <w:ind w:firstLine="0"/>
      </w:pPr>
      <w:r>
        <w:t xml:space="preserve">Председатель </w:t>
      </w:r>
      <w:proofErr w:type="gramStart"/>
      <w:r>
        <w:t>Контрольно-счетной</w:t>
      </w:r>
      <w:proofErr w:type="gramEnd"/>
    </w:p>
    <w:p w:rsidR="00C10071" w:rsidRDefault="00C10071" w:rsidP="006735B5">
      <w:pPr>
        <w:spacing w:line="240" w:lineRule="auto"/>
        <w:ind w:firstLine="0"/>
      </w:pPr>
      <w:r>
        <w:t xml:space="preserve">комиссии </w:t>
      </w:r>
      <w:proofErr w:type="spellStart"/>
      <w:r>
        <w:t>Ипатовского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</w:p>
    <w:p w:rsidR="00212F01" w:rsidRDefault="00C10071" w:rsidP="006735B5">
      <w:pPr>
        <w:spacing w:line="240" w:lineRule="auto"/>
        <w:ind w:firstLine="0"/>
      </w:pPr>
      <w:r>
        <w:t xml:space="preserve">округа Ставропольского края                                                  </w:t>
      </w:r>
      <w:r w:rsidR="00E52706">
        <w:t xml:space="preserve"> </w:t>
      </w:r>
      <w:r w:rsidR="00394010">
        <w:t xml:space="preserve">    </w:t>
      </w:r>
      <w:r w:rsidR="00E52706">
        <w:t xml:space="preserve">   </w:t>
      </w:r>
      <w:proofErr w:type="spellStart"/>
      <w:r>
        <w:t>Е.П.Деньщикова</w:t>
      </w:r>
      <w:proofErr w:type="spellEnd"/>
    </w:p>
    <w:sectPr w:rsidR="00212F01" w:rsidSect="00E10D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B6B"/>
    <w:rsid w:val="00001007"/>
    <w:rsid w:val="000012E8"/>
    <w:rsid w:val="000014F6"/>
    <w:rsid w:val="00001788"/>
    <w:rsid w:val="0000180B"/>
    <w:rsid w:val="00005275"/>
    <w:rsid w:val="000052F2"/>
    <w:rsid w:val="000053FB"/>
    <w:rsid w:val="000070EC"/>
    <w:rsid w:val="0000756B"/>
    <w:rsid w:val="00010F18"/>
    <w:rsid w:val="000119D8"/>
    <w:rsid w:val="00011B33"/>
    <w:rsid w:val="00011E4C"/>
    <w:rsid w:val="00012021"/>
    <w:rsid w:val="000137A6"/>
    <w:rsid w:val="00020058"/>
    <w:rsid w:val="00020518"/>
    <w:rsid w:val="00021295"/>
    <w:rsid w:val="000217E0"/>
    <w:rsid w:val="00022463"/>
    <w:rsid w:val="000225B9"/>
    <w:rsid w:val="00022671"/>
    <w:rsid w:val="0002446C"/>
    <w:rsid w:val="000244A8"/>
    <w:rsid w:val="00024EBD"/>
    <w:rsid w:val="00024F28"/>
    <w:rsid w:val="00025644"/>
    <w:rsid w:val="00025DDF"/>
    <w:rsid w:val="000303E8"/>
    <w:rsid w:val="0003082B"/>
    <w:rsid w:val="0003149B"/>
    <w:rsid w:val="000316B6"/>
    <w:rsid w:val="00031DF9"/>
    <w:rsid w:val="00033D6F"/>
    <w:rsid w:val="000349A7"/>
    <w:rsid w:val="00034DE5"/>
    <w:rsid w:val="0003699A"/>
    <w:rsid w:val="00041873"/>
    <w:rsid w:val="00042CE3"/>
    <w:rsid w:val="00043018"/>
    <w:rsid w:val="00043B00"/>
    <w:rsid w:val="000446A7"/>
    <w:rsid w:val="00044CA8"/>
    <w:rsid w:val="00045A33"/>
    <w:rsid w:val="00045DD0"/>
    <w:rsid w:val="0004639E"/>
    <w:rsid w:val="000477A2"/>
    <w:rsid w:val="00047B23"/>
    <w:rsid w:val="00051FEF"/>
    <w:rsid w:val="00052E00"/>
    <w:rsid w:val="00053E46"/>
    <w:rsid w:val="000543AF"/>
    <w:rsid w:val="00054C3A"/>
    <w:rsid w:val="00060A6C"/>
    <w:rsid w:val="000623B7"/>
    <w:rsid w:val="0006383C"/>
    <w:rsid w:val="0006594D"/>
    <w:rsid w:val="00065C26"/>
    <w:rsid w:val="00066631"/>
    <w:rsid w:val="0006778F"/>
    <w:rsid w:val="00067AC6"/>
    <w:rsid w:val="0007079E"/>
    <w:rsid w:val="00070F7D"/>
    <w:rsid w:val="00071369"/>
    <w:rsid w:val="00071709"/>
    <w:rsid w:val="00071737"/>
    <w:rsid w:val="00071F89"/>
    <w:rsid w:val="00072873"/>
    <w:rsid w:val="000733A1"/>
    <w:rsid w:val="0007390D"/>
    <w:rsid w:val="0007472E"/>
    <w:rsid w:val="00074981"/>
    <w:rsid w:val="00074AEC"/>
    <w:rsid w:val="00074E06"/>
    <w:rsid w:val="00075398"/>
    <w:rsid w:val="00076673"/>
    <w:rsid w:val="000812F0"/>
    <w:rsid w:val="00081CB8"/>
    <w:rsid w:val="00081D0E"/>
    <w:rsid w:val="00081FA3"/>
    <w:rsid w:val="0008248A"/>
    <w:rsid w:val="0008274C"/>
    <w:rsid w:val="00082EA0"/>
    <w:rsid w:val="0008313A"/>
    <w:rsid w:val="00083956"/>
    <w:rsid w:val="00083C0A"/>
    <w:rsid w:val="0008570A"/>
    <w:rsid w:val="00085D82"/>
    <w:rsid w:val="0008710C"/>
    <w:rsid w:val="00090410"/>
    <w:rsid w:val="00090966"/>
    <w:rsid w:val="00092F34"/>
    <w:rsid w:val="000949A8"/>
    <w:rsid w:val="000949D2"/>
    <w:rsid w:val="000961E3"/>
    <w:rsid w:val="00096936"/>
    <w:rsid w:val="00096A69"/>
    <w:rsid w:val="000A0AA4"/>
    <w:rsid w:val="000A1471"/>
    <w:rsid w:val="000A18CC"/>
    <w:rsid w:val="000A1D9D"/>
    <w:rsid w:val="000A1FAD"/>
    <w:rsid w:val="000A3478"/>
    <w:rsid w:val="000A5F77"/>
    <w:rsid w:val="000A63E1"/>
    <w:rsid w:val="000A648A"/>
    <w:rsid w:val="000B07F2"/>
    <w:rsid w:val="000B0C5E"/>
    <w:rsid w:val="000B3870"/>
    <w:rsid w:val="000B5576"/>
    <w:rsid w:val="000B780C"/>
    <w:rsid w:val="000C0991"/>
    <w:rsid w:val="000C0F82"/>
    <w:rsid w:val="000C2460"/>
    <w:rsid w:val="000C26EA"/>
    <w:rsid w:val="000C4DD1"/>
    <w:rsid w:val="000C5A42"/>
    <w:rsid w:val="000C67CC"/>
    <w:rsid w:val="000C6F0C"/>
    <w:rsid w:val="000C7804"/>
    <w:rsid w:val="000C7B40"/>
    <w:rsid w:val="000D00C7"/>
    <w:rsid w:val="000D0DA3"/>
    <w:rsid w:val="000D272D"/>
    <w:rsid w:val="000D3A59"/>
    <w:rsid w:val="000D463E"/>
    <w:rsid w:val="000D5588"/>
    <w:rsid w:val="000D5F3C"/>
    <w:rsid w:val="000D6498"/>
    <w:rsid w:val="000D64FA"/>
    <w:rsid w:val="000D7028"/>
    <w:rsid w:val="000E1329"/>
    <w:rsid w:val="000E2C3F"/>
    <w:rsid w:val="000E3017"/>
    <w:rsid w:val="000E3738"/>
    <w:rsid w:val="000E4D24"/>
    <w:rsid w:val="000E5111"/>
    <w:rsid w:val="000E51DA"/>
    <w:rsid w:val="000E66AF"/>
    <w:rsid w:val="000E734D"/>
    <w:rsid w:val="000E7AA4"/>
    <w:rsid w:val="000F0647"/>
    <w:rsid w:val="000F1A95"/>
    <w:rsid w:val="000F22A0"/>
    <w:rsid w:val="000F28DB"/>
    <w:rsid w:val="000F48A1"/>
    <w:rsid w:val="000F4E0C"/>
    <w:rsid w:val="000F53AC"/>
    <w:rsid w:val="000F5BB3"/>
    <w:rsid w:val="000F6D01"/>
    <w:rsid w:val="000F7A14"/>
    <w:rsid w:val="000F7C76"/>
    <w:rsid w:val="00104FD9"/>
    <w:rsid w:val="00105202"/>
    <w:rsid w:val="001069D1"/>
    <w:rsid w:val="00110C41"/>
    <w:rsid w:val="00115D04"/>
    <w:rsid w:val="0011603C"/>
    <w:rsid w:val="00116A71"/>
    <w:rsid w:val="001172CB"/>
    <w:rsid w:val="00117366"/>
    <w:rsid w:val="00121124"/>
    <w:rsid w:val="001215FB"/>
    <w:rsid w:val="00122822"/>
    <w:rsid w:val="00122959"/>
    <w:rsid w:val="00123FAF"/>
    <w:rsid w:val="00124A89"/>
    <w:rsid w:val="00124AB6"/>
    <w:rsid w:val="001251AC"/>
    <w:rsid w:val="00125AF7"/>
    <w:rsid w:val="001261C7"/>
    <w:rsid w:val="00127DCE"/>
    <w:rsid w:val="001313CB"/>
    <w:rsid w:val="00131FFF"/>
    <w:rsid w:val="0013251B"/>
    <w:rsid w:val="00132A90"/>
    <w:rsid w:val="00133CA4"/>
    <w:rsid w:val="00133CFB"/>
    <w:rsid w:val="00135421"/>
    <w:rsid w:val="001354D9"/>
    <w:rsid w:val="0013552D"/>
    <w:rsid w:val="00135604"/>
    <w:rsid w:val="00135953"/>
    <w:rsid w:val="00135A0D"/>
    <w:rsid w:val="00136EB3"/>
    <w:rsid w:val="00137EE5"/>
    <w:rsid w:val="00140698"/>
    <w:rsid w:val="001431C3"/>
    <w:rsid w:val="00143409"/>
    <w:rsid w:val="00143928"/>
    <w:rsid w:val="0014459E"/>
    <w:rsid w:val="00144C74"/>
    <w:rsid w:val="0014542F"/>
    <w:rsid w:val="001463BE"/>
    <w:rsid w:val="00146778"/>
    <w:rsid w:val="001474AB"/>
    <w:rsid w:val="00147606"/>
    <w:rsid w:val="00152815"/>
    <w:rsid w:val="00153450"/>
    <w:rsid w:val="00153C6B"/>
    <w:rsid w:val="00153E64"/>
    <w:rsid w:val="001546F9"/>
    <w:rsid w:val="00155053"/>
    <w:rsid w:val="00156CB2"/>
    <w:rsid w:val="00157B1D"/>
    <w:rsid w:val="00157D40"/>
    <w:rsid w:val="0016020B"/>
    <w:rsid w:val="00160439"/>
    <w:rsid w:val="0016152E"/>
    <w:rsid w:val="00162382"/>
    <w:rsid w:val="00162C30"/>
    <w:rsid w:val="00162F82"/>
    <w:rsid w:val="0016340B"/>
    <w:rsid w:val="0016401E"/>
    <w:rsid w:val="001646C4"/>
    <w:rsid w:val="00165937"/>
    <w:rsid w:val="00165A59"/>
    <w:rsid w:val="00165DBE"/>
    <w:rsid w:val="00165DF1"/>
    <w:rsid w:val="001675F8"/>
    <w:rsid w:val="0016761D"/>
    <w:rsid w:val="00167C44"/>
    <w:rsid w:val="001738E9"/>
    <w:rsid w:val="00174F0C"/>
    <w:rsid w:val="00175150"/>
    <w:rsid w:val="00175CDE"/>
    <w:rsid w:val="00176E91"/>
    <w:rsid w:val="0017783E"/>
    <w:rsid w:val="001800D5"/>
    <w:rsid w:val="001805EA"/>
    <w:rsid w:val="00181DEF"/>
    <w:rsid w:val="00182F0B"/>
    <w:rsid w:val="00183C32"/>
    <w:rsid w:val="00184F6A"/>
    <w:rsid w:val="001852D0"/>
    <w:rsid w:val="00186E98"/>
    <w:rsid w:val="00186F41"/>
    <w:rsid w:val="00187D96"/>
    <w:rsid w:val="001904E4"/>
    <w:rsid w:val="00193E86"/>
    <w:rsid w:val="00195258"/>
    <w:rsid w:val="001954CB"/>
    <w:rsid w:val="00195D78"/>
    <w:rsid w:val="00197AF9"/>
    <w:rsid w:val="001A02F1"/>
    <w:rsid w:val="001A0D18"/>
    <w:rsid w:val="001A1D88"/>
    <w:rsid w:val="001A2536"/>
    <w:rsid w:val="001A4176"/>
    <w:rsid w:val="001A4B13"/>
    <w:rsid w:val="001A6D83"/>
    <w:rsid w:val="001B068A"/>
    <w:rsid w:val="001B223C"/>
    <w:rsid w:val="001B3F7D"/>
    <w:rsid w:val="001B3FF4"/>
    <w:rsid w:val="001B571F"/>
    <w:rsid w:val="001B5CD9"/>
    <w:rsid w:val="001B6DC5"/>
    <w:rsid w:val="001B790C"/>
    <w:rsid w:val="001C2625"/>
    <w:rsid w:val="001C2945"/>
    <w:rsid w:val="001C3B46"/>
    <w:rsid w:val="001C3E58"/>
    <w:rsid w:val="001C4335"/>
    <w:rsid w:val="001C5AF9"/>
    <w:rsid w:val="001C5D43"/>
    <w:rsid w:val="001C62F0"/>
    <w:rsid w:val="001C6375"/>
    <w:rsid w:val="001C655E"/>
    <w:rsid w:val="001C66C7"/>
    <w:rsid w:val="001C66E9"/>
    <w:rsid w:val="001D1DF6"/>
    <w:rsid w:val="001D49B8"/>
    <w:rsid w:val="001D63E6"/>
    <w:rsid w:val="001D66CE"/>
    <w:rsid w:val="001D6F44"/>
    <w:rsid w:val="001D756C"/>
    <w:rsid w:val="001D7B36"/>
    <w:rsid w:val="001E01A0"/>
    <w:rsid w:val="001E03B4"/>
    <w:rsid w:val="001E1E35"/>
    <w:rsid w:val="001E4F0C"/>
    <w:rsid w:val="001E50B9"/>
    <w:rsid w:val="001E654D"/>
    <w:rsid w:val="001E6F6B"/>
    <w:rsid w:val="001F0635"/>
    <w:rsid w:val="001F1B57"/>
    <w:rsid w:val="001F241B"/>
    <w:rsid w:val="001F264A"/>
    <w:rsid w:val="001F325A"/>
    <w:rsid w:val="001F32B6"/>
    <w:rsid w:val="001F50D8"/>
    <w:rsid w:val="001F6828"/>
    <w:rsid w:val="0020161E"/>
    <w:rsid w:val="00202005"/>
    <w:rsid w:val="00202260"/>
    <w:rsid w:val="00203E19"/>
    <w:rsid w:val="002049B3"/>
    <w:rsid w:val="0020577F"/>
    <w:rsid w:val="00206177"/>
    <w:rsid w:val="00206B30"/>
    <w:rsid w:val="0020736D"/>
    <w:rsid w:val="0020770B"/>
    <w:rsid w:val="00207C80"/>
    <w:rsid w:val="00210467"/>
    <w:rsid w:val="0021088E"/>
    <w:rsid w:val="00211B5A"/>
    <w:rsid w:val="00212F01"/>
    <w:rsid w:val="00214043"/>
    <w:rsid w:val="002157D7"/>
    <w:rsid w:val="00215E3F"/>
    <w:rsid w:val="00217D4D"/>
    <w:rsid w:val="00220958"/>
    <w:rsid w:val="00221945"/>
    <w:rsid w:val="00221AA2"/>
    <w:rsid w:val="00223F44"/>
    <w:rsid w:val="00225860"/>
    <w:rsid w:val="00225CC3"/>
    <w:rsid w:val="00225E52"/>
    <w:rsid w:val="00226728"/>
    <w:rsid w:val="00227C9B"/>
    <w:rsid w:val="00231455"/>
    <w:rsid w:val="00232DA7"/>
    <w:rsid w:val="0023358F"/>
    <w:rsid w:val="002336F1"/>
    <w:rsid w:val="00233B75"/>
    <w:rsid w:val="002342FB"/>
    <w:rsid w:val="002345C5"/>
    <w:rsid w:val="00234D40"/>
    <w:rsid w:val="00235106"/>
    <w:rsid w:val="00235C53"/>
    <w:rsid w:val="00235CC7"/>
    <w:rsid w:val="00236BC0"/>
    <w:rsid w:val="00237725"/>
    <w:rsid w:val="00240A56"/>
    <w:rsid w:val="00240EC4"/>
    <w:rsid w:val="0024380E"/>
    <w:rsid w:val="002446BF"/>
    <w:rsid w:val="00245408"/>
    <w:rsid w:val="002456FE"/>
    <w:rsid w:val="00246145"/>
    <w:rsid w:val="00246970"/>
    <w:rsid w:val="00247453"/>
    <w:rsid w:val="002475B1"/>
    <w:rsid w:val="002477EA"/>
    <w:rsid w:val="00251532"/>
    <w:rsid w:val="002519E4"/>
    <w:rsid w:val="00252063"/>
    <w:rsid w:val="00253774"/>
    <w:rsid w:val="002538D7"/>
    <w:rsid w:val="00254B68"/>
    <w:rsid w:val="0025581C"/>
    <w:rsid w:val="00255E54"/>
    <w:rsid w:val="00260016"/>
    <w:rsid w:val="00261DE0"/>
    <w:rsid w:val="00261DE8"/>
    <w:rsid w:val="00262E96"/>
    <w:rsid w:val="00263422"/>
    <w:rsid w:val="00263B6B"/>
    <w:rsid w:val="002649AE"/>
    <w:rsid w:val="0026529A"/>
    <w:rsid w:val="0026687A"/>
    <w:rsid w:val="00267355"/>
    <w:rsid w:val="00267EBB"/>
    <w:rsid w:val="00270D9A"/>
    <w:rsid w:val="00272FF6"/>
    <w:rsid w:val="0027350E"/>
    <w:rsid w:val="002742AD"/>
    <w:rsid w:val="00276CB7"/>
    <w:rsid w:val="00277A67"/>
    <w:rsid w:val="0028167E"/>
    <w:rsid w:val="002821ED"/>
    <w:rsid w:val="002826FC"/>
    <w:rsid w:val="002827C1"/>
    <w:rsid w:val="00282C23"/>
    <w:rsid w:val="002842B8"/>
    <w:rsid w:val="002846FC"/>
    <w:rsid w:val="0028690A"/>
    <w:rsid w:val="00286FD7"/>
    <w:rsid w:val="00287BD6"/>
    <w:rsid w:val="0029071C"/>
    <w:rsid w:val="002911F7"/>
    <w:rsid w:val="00294ED7"/>
    <w:rsid w:val="00297511"/>
    <w:rsid w:val="00297BBC"/>
    <w:rsid w:val="002A1DCC"/>
    <w:rsid w:val="002A25E7"/>
    <w:rsid w:val="002A31DB"/>
    <w:rsid w:val="002A37FB"/>
    <w:rsid w:val="002A53EC"/>
    <w:rsid w:val="002A73FA"/>
    <w:rsid w:val="002B04CF"/>
    <w:rsid w:val="002B0FBF"/>
    <w:rsid w:val="002B1868"/>
    <w:rsid w:val="002B1FAE"/>
    <w:rsid w:val="002B3793"/>
    <w:rsid w:val="002B3A0C"/>
    <w:rsid w:val="002B3A87"/>
    <w:rsid w:val="002B3D5B"/>
    <w:rsid w:val="002B421A"/>
    <w:rsid w:val="002B4478"/>
    <w:rsid w:val="002B4B7A"/>
    <w:rsid w:val="002B4EF6"/>
    <w:rsid w:val="002B52EF"/>
    <w:rsid w:val="002B57D4"/>
    <w:rsid w:val="002B7802"/>
    <w:rsid w:val="002C0FC6"/>
    <w:rsid w:val="002C1323"/>
    <w:rsid w:val="002C2068"/>
    <w:rsid w:val="002C21A3"/>
    <w:rsid w:val="002C334D"/>
    <w:rsid w:val="002C3BA0"/>
    <w:rsid w:val="002C3EFC"/>
    <w:rsid w:val="002C410B"/>
    <w:rsid w:val="002C4552"/>
    <w:rsid w:val="002C54AD"/>
    <w:rsid w:val="002C572A"/>
    <w:rsid w:val="002C5A66"/>
    <w:rsid w:val="002D1E23"/>
    <w:rsid w:val="002D21FB"/>
    <w:rsid w:val="002D26E1"/>
    <w:rsid w:val="002D2AED"/>
    <w:rsid w:val="002D313B"/>
    <w:rsid w:val="002D4B10"/>
    <w:rsid w:val="002D4B96"/>
    <w:rsid w:val="002D5C90"/>
    <w:rsid w:val="002D5E01"/>
    <w:rsid w:val="002D61E5"/>
    <w:rsid w:val="002D6BBC"/>
    <w:rsid w:val="002E0AEB"/>
    <w:rsid w:val="002E14D2"/>
    <w:rsid w:val="002E2DD6"/>
    <w:rsid w:val="002E361C"/>
    <w:rsid w:val="002E404E"/>
    <w:rsid w:val="002E535F"/>
    <w:rsid w:val="002E54F9"/>
    <w:rsid w:val="002E5999"/>
    <w:rsid w:val="002E5EEA"/>
    <w:rsid w:val="002E68CE"/>
    <w:rsid w:val="002E741E"/>
    <w:rsid w:val="002F00CE"/>
    <w:rsid w:val="002F1609"/>
    <w:rsid w:val="002F1D5E"/>
    <w:rsid w:val="002F1E84"/>
    <w:rsid w:val="002F22B0"/>
    <w:rsid w:val="002F22DF"/>
    <w:rsid w:val="002F2AC9"/>
    <w:rsid w:val="002F3A57"/>
    <w:rsid w:val="002F4D35"/>
    <w:rsid w:val="002F4FBC"/>
    <w:rsid w:val="002F5A91"/>
    <w:rsid w:val="002F6028"/>
    <w:rsid w:val="002F6528"/>
    <w:rsid w:val="002F6AB3"/>
    <w:rsid w:val="002F72BB"/>
    <w:rsid w:val="002F7872"/>
    <w:rsid w:val="002F7F20"/>
    <w:rsid w:val="003015F8"/>
    <w:rsid w:val="00301FE2"/>
    <w:rsid w:val="00302FB6"/>
    <w:rsid w:val="0030420C"/>
    <w:rsid w:val="00304579"/>
    <w:rsid w:val="00304610"/>
    <w:rsid w:val="00304B49"/>
    <w:rsid w:val="003051EC"/>
    <w:rsid w:val="00305435"/>
    <w:rsid w:val="00306DFF"/>
    <w:rsid w:val="00307671"/>
    <w:rsid w:val="00307CE1"/>
    <w:rsid w:val="003100AF"/>
    <w:rsid w:val="00312EE9"/>
    <w:rsid w:val="00312EF1"/>
    <w:rsid w:val="003135F8"/>
    <w:rsid w:val="003136DE"/>
    <w:rsid w:val="003136E3"/>
    <w:rsid w:val="00313BC2"/>
    <w:rsid w:val="00313F09"/>
    <w:rsid w:val="0031477A"/>
    <w:rsid w:val="0031597E"/>
    <w:rsid w:val="00315D7C"/>
    <w:rsid w:val="00316548"/>
    <w:rsid w:val="00317F97"/>
    <w:rsid w:val="00320210"/>
    <w:rsid w:val="0032103D"/>
    <w:rsid w:val="0032137B"/>
    <w:rsid w:val="00321666"/>
    <w:rsid w:val="00322184"/>
    <w:rsid w:val="003225DD"/>
    <w:rsid w:val="00322734"/>
    <w:rsid w:val="003237B2"/>
    <w:rsid w:val="003245A8"/>
    <w:rsid w:val="00324A59"/>
    <w:rsid w:val="003260EE"/>
    <w:rsid w:val="00326B36"/>
    <w:rsid w:val="00327B39"/>
    <w:rsid w:val="003300BF"/>
    <w:rsid w:val="003305E4"/>
    <w:rsid w:val="00330658"/>
    <w:rsid w:val="00331D89"/>
    <w:rsid w:val="0033324D"/>
    <w:rsid w:val="003337F5"/>
    <w:rsid w:val="00333C7C"/>
    <w:rsid w:val="00335C48"/>
    <w:rsid w:val="00335C90"/>
    <w:rsid w:val="00335F3B"/>
    <w:rsid w:val="00336F47"/>
    <w:rsid w:val="003406D4"/>
    <w:rsid w:val="00341003"/>
    <w:rsid w:val="0034191C"/>
    <w:rsid w:val="00342AB7"/>
    <w:rsid w:val="00344592"/>
    <w:rsid w:val="0034558D"/>
    <w:rsid w:val="00346203"/>
    <w:rsid w:val="00346B95"/>
    <w:rsid w:val="0034785C"/>
    <w:rsid w:val="00350148"/>
    <w:rsid w:val="00350297"/>
    <w:rsid w:val="00350E59"/>
    <w:rsid w:val="00351311"/>
    <w:rsid w:val="00354104"/>
    <w:rsid w:val="003551DC"/>
    <w:rsid w:val="00355A5D"/>
    <w:rsid w:val="003560BE"/>
    <w:rsid w:val="003578DE"/>
    <w:rsid w:val="00360DF1"/>
    <w:rsid w:val="00362609"/>
    <w:rsid w:val="003626EC"/>
    <w:rsid w:val="00362919"/>
    <w:rsid w:val="00363372"/>
    <w:rsid w:val="0036627F"/>
    <w:rsid w:val="00367F7D"/>
    <w:rsid w:val="003700AC"/>
    <w:rsid w:val="0037010F"/>
    <w:rsid w:val="0037028E"/>
    <w:rsid w:val="00370717"/>
    <w:rsid w:val="00371160"/>
    <w:rsid w:val="003714DB"/>
    <w:rsid w:val="00371C93"/>
    <w:rsid w:val="00371D07"/>
    <w:rsid w:val="003723E2"/>
    <w:rsid w:val="003739BB"/>
    <w:rsid w:val="00373EA0"/>
    <w:rsid w:val="00374871"/>
    <w:rsid w:val="00376BD3"/>
    <w:rsid w:val="00376CB3"/>
    <w:rsid w:val="003771F5"/>
    <w:rsid w:val="00377DBD"/>
    <w:rsid w:val="00377E9F"/>
    <w:rsid w:val="003814C3"/>
    <w:rsid w:val="003823E4"/>
    <w:rsid w:val="003827DC"/>
    <w:rsid w:val="003835AB"/>
    <w:rsid w:val="0038558B"/>
    <w:rsid w:val="00386401"/>
    <w:rsid w:val="003902FE"/>
    <w:rsid w:val="00390A36"/>
    <w:rsid w:val="003932FA"/>
    <w:rsid w:val="00393613"/>
    <w:rsid w:val="00393621"/>
    <w:rsid w:val="00393915"/>
    <w:rsid w:val="00394010"/>
    <w:rsid w:val="003952F1"/>
    <w:rsid w:val="00395664"/>
    <w:rsid w:val="003968FF"/>
    <w:rsid w:val="00397406"/>
    <w:rsid w:val="00397854"/>
    <w:rsid w:val="003A0520"/>
    <w:rsid w:val="003A21F3"/>
    <w:rsid w:val="003A3194"/>
    <w:rsid w:val="003A3E58"/>
    <w:rsid w:val="003A594F"/>
    <w:rsid w:val="003A5BA2"/>
    <w:rsid w:val="003A71B2"/>
    <w:rsid w:val="003A7CB1"/>
    <w:rsid w:val="003B1CDA"/>
    <w:rsid w:val="003B23F3"/>
    <w:rsid w:val="003B268E"/>
    <w:rsid w:val="003B2A00"/>
    <w:rsid w:val="003B2F88"/>
    <w:rsid w:val="003B3501"/>
    <w:rsid w:val="003B4567"/>
    <w:rsid w:val="003B6DCC"/>
    <w:rsid w:val="003B70D3"/>
    <w:rsid w:val="003B7420"/>
    <w:rsid w:val="003B7E19"/>
    <w:rsid w:val="003C0ECA"/>
    <w:rsid w:val="003C3787"/>
    <w:rsid w:val="003C42F3"/>
    <w:rsid w:val="003C4641"/>
    <w:rsid w:val="003C4F37"/>
    <w:rsid w:val="003C538F"/>
    <w:rsid w:val="003C637B"/>
    <w:rsid w:val="003C6E99"/>
    <w:rsid w:val="003C7129"/>
    <w:rsid w:val="003D2935"/>
    <w:rsid w:val="003D3ACE"/>
    <w:rsid w:val="003D4051"/>
    <w:rsid w:val="003D42F2"/>
    <w:rsid w:val="003D4E01"/>
    <w:rsid w:val="003D561D"/>
    <w:rsid w:val="003D610B"/>
    <w:rsid w:val="003D6D45"/>
    <w:rsid w:val="003E1DDF"/>
    <w:rsid w:val="003E22D1"/>
    <w:rsid w:val="003E2764"/>
    <w:rsid w:val="003E2F60"/>
    <w:rsid w:val="003E36C6"/>
    <w:rsid w:val="003E36FD"/>
    <w:rsid w:val="003E41BC"/>
    <w:rsid w:val="003E463C"/>
    <w:rsid w:val="003E54E9"/>
    <w:rsid w:val="003E5AB5"/>
    <w:rsid w:val="003E70DC"/>
    <w:rsid w:val="003E7B37"/>
    <w:rsid w:val="003F1196"/>
    <w:rsid w:val="003F14BC"/>
    <w:rsid w:val="003F1B71"/>
    <w:rsid w:val="003F1C12"/>
    <w:rsid w:val="003F4260"/>
    <w:rsid w:val="003F4CFD"/>
    <w:rsid w:val="003F5230"/>
    <w:rsid w:val="003F7801"/>
    <w:rsid w:val="003F789D"/>
    <w:rsid w:val="003F7EC8"/>
    <w:rsid w:val="004003D4"/>
    <w:rsid w:val="00400684"/>
    <w:rsid w:val="00400A81"/>
    <w:rsid w:val="00402575"/>
    <w:rsid w:val="0040395C"/>
    <w:rsid w:val="004045B8"/>
    <w:rsid w:val="00405091"/>
    <w:rsid w:val="00405324"/>
    <w:rsid w:val="004056B1"/>
    <w:rsid w:val="004066BB"/>
    <w:rsid w:val="00407F11"/>
    <w:rsid w:val="00410A7E"/>
    <w:rsid w:val="00411EFB"/>
    <w:rsid w:val="00412FEE"/>
    <w:rsid w:val="004134DB"/>
    <w:rsid w:val="00414226"/>
    <w:rsid w:val="00414235"/>
    <w:rsid w:val="004147D9"/>
    <w:rsid w:val="00416397"/>
    <w:rsid w:val="00417910"/>
    <w:rsid w:val="00417BBF"/>
    <w:rsid w:val="0042015F"/>
    <w:rsid w:val="00420DC4"/>
    <w:rsid w:val="00421FBF"/>
    <w:rsid w:val="004224B4"/>
    <w:rsid w:val="004234FD"/>
    <w:rsid w:val="00423B87"/>
    <w:rsid w:val="0042402B"/>
    <w:rsid w:val="00424DB7"/>
    <w:rsid w:val="00425781"/>
    <w:rsid w:val="00426196"/>
    <w:rsid w:val="004263F8"/>
    <w:rsid w:val="00430353"/>
    <w:rsid w:val="004307DF"/>
    <w:rsid w:val="004321BA"/>
    <w:rsid w:val="004322EF"/>
    <w:rsid w:val="0043232B"/>
    <w:rsid w:val="00432540"/>
    <w:rsid w:val="0043368A"/>
    <w:rsid w:val="00433784"/>
    <w:rsid w:val="00434F12"/>
    <w:rsid w:val="00435435"/>
    <w:rsid w:val="00435BED"/>
    <w:rsid w:val="00435F20"/>
    <w:rsid w:val="00436257"/>
    <w:rsid w:val="004367E4"/>
    <w:rsid w:val="00436BF4"/>
    <w:rsid w:val="004375CD"/>
    <w:rsid w:val="00437D63"/>
    <w:rsid w:val="00437DBA"/>
    <w:rsid w:val="004405DB"/>
    <w:rsid w:val="0044060C"/>
    <w:rsid w:val="0044074C"/>
    <w:rsid w:val="00440F5F"/>
    <w:rsid w:val="004410E8"/>
    <w:rsid w:val="00441173"/>
    <w:rsid w:val="00441CB7"/>
    <w:rsid w:val="0044210A"/>
    <w:rsid w:val="00442AFE"/>
    <w:rsid w:val="004435AD"/>
    <w:rsid w:val="00443F13"/>
    <w:rsid w:val="00445E6F"/>
    <w:rsid w:val="00447E6F"/>
    <w:rsid w:val="004509B7"/>
    <w:rsid w:val="004519D3"/>
    <w:rsid w:val="00452557"/>
    <w:rsid w:val="00453288"/>
    <w:rsid w:val="004532B8"/>
    <w:rsid w:val="004552AB"/>
    <w:rsid w:val="00455D72"/>
    <w:rsid w:val="004564E8"/>
    <w:rsid w:val="00462116"/>
    <w:rsid w:val="004621FF"/>
    <w:rsid w:val="004628B2"/>
    <w:rsid w:val="004631AF"/>
    <w:rsid w:val="00463622"/>
    <w:rsid w:val="0046367E"/>
    <w:rsid w:val="00463E24"/>
    <w:rsid w:val="00464024"/>
    <w:rsid w:val="00464288"/>
    <w:rsid w:val="00465747"/>
    <w:rsid w:val="00465A51"/>
    <w:rsid w:val="004709E9"/>
    <w:rsid w:val="00472E31"/>
    <w:rsid w:val="004735DC"/>
    <w:rsid w:val="004749CF"/>
    <w:rsid w:val="004752EC"/>
    <w:rsid w:val="00475500"/>
    <w:rsid w:val="00475B20"/>
    <w:rsid w:val="00477ED3"/>
    <w:rsid w:val="00480223"/>
    <w:rsid w:val="0048145C"/>
    <w:rsid w:val="00481606"/>
    <w:rsid w:val="00481D3B"/>
    <w:rsid w:val="00482FE2"/>
    <w:rsid w:val="00483059"/>
    <w:rsid w:val="004833A3"/>
    <w:rsid w:val="00484436"/>
    <w:rsid w:val="00486E58"/>
    <w:rsid w:val="00490772"/>
    <w:rsid w:val="00491831"/>
    <w:rsid w:val="00491BC7"/>
    <w:rsid w:val="00491D76"/>
    <w:rsid w:val="00491EA4"/>
    <w:rsid w:val="004922D8"/>
    <w:rsid w:val="004930BE"/>
    <w:rsid w:val="00493426"/>
    <w:rsid w:val="0049348C"/>
    <w:rsid w:val="0049367A"/>
    <w:rsid w:val="004937A0"/>
    <w:rsid w:val="00494F70"/>
    <w:rsid w:val="004956BD"/>
    <w:rsid w:val="004956F4"/>
    <w:rsid w:val="00495D53"/>
    <w:rsid w:val="00495D9B"/>
    <w:rsid w:val="00496638"/>
    <w:rsid w:val="00497369"/>
    <w:rsid w:val="004A12A8"/>
    <w:rsid w:val="004A152F"/>
    <w:rsid w:val="004A182E"/>
    <w:rsid w:val="004A1E23"/>
    <w:rsid w:val="004A23CA"/>
    <w:rsid w:val="004A428D"/>
    <w:rsid w:val="004A6217"/>
    <w:rsid w:val="004A6372"/>
    <w:rsid w:val="004A70C3"/>
    <w:rsid w:val="004A7903"/>
    <w:rsid w:val="004B0277"/>
    <w:rsid w:val="004B08D5"/>
    <w:rsid w:val="004B0F71"/>
    <w:rsid w:val="004B1CEB"/>
    <w:rsid w:val="004B2E9D"/>
    <w:rsid w:val="004B36B4"/>
    <w:rsid w:val="004B43E7"/>
    <w:rsid w:val="004B44B0"/>
    <w:rsid w:val="004B50BD"/>
    <w:rsid w:val="004B65D3"/>
    <w:rsid w:val="004B69AE"/>
    <w:rsid w:val="004B7BEA"/>
    <w:rsid w:val="004C1062"/>
    <w:rsid w:val="004C1179"/>
    <w:rsid w:val="004C26C6"/>
    <w:rsid w:val="004C2823"/>
    <w:rsid w:val="004C401A"/>
    <w:rsid w:val="004C5659"/>
    <w:rsid w:val="004C5C73"/>
    <w:rsid w:val="004C6318"/>
    <w:rsid w:val="004C71CD"/>
    <w:rsid w:val="004C733B"/>
    <w:rsid w:val="004C73BB"/>
    <w:rsid w:val="004D0D34"/>
    <w:rsid w:val="004D1E4E"/>
    <w:rsid w:val="004D2D4F"/>
    <w:rsid w:val="004D2D9B"/>
    <w:rsid w:val="004D3676"/>
    <w:rsid w:val="004D3CEB"/>
    <w:rsid w:val="004D43A2"/>
    <w:rsid w:val="004D577A"/>
    <w:rsid w:val="004D5847"/>
    <w:rsid w:val="004D5D4E"/>
    <w:rsid w:val="004D5F4E"/>
    <w:rsid w:val="004D6153"/>
    <w:rsid w:val="004D6500"/>
    <w:rsid w:val="004E07E1"/>
    <w:rsid w:val="004E16F7"/>
    <w:rsid w:val="004E39B9"/>
    <w:rsid w:val="004E4BB4"/>
    <w:rsid w:val="004E5092"/>
    <w:rsid w:val="004E5AFE"/>
    <w:rsid w:val="004E7A45"/>
    <w:rsid w:val="004E7C38"/>
    <w:rsid w:val="004F0EEA"/>
    <w:rsid w:val="004F1660"/>
    <w:rsid w:val="004F2447"/>
    <w:rsid w:val="004F3125"/>
    <w:rsid w:val="004F3BFD"/>
    <w:rsid w:val="004F55A1"/>
    <w:rsid w:val="004F7A8E"/>
    <w:rsid w:val="00500B02"/>
    <w:rsid w:val="00501A33"/>
    <w:rsid w:val="005029F4"/>
    <w:rsid w:val="005035E8"/>
    <w:rsid w:val="00504413"/>
    <w:rsid w:val="00504544"/>
    <w:rsid w:val="00505A42"/>
    <w:rsid w:val="00507472"/>
    <w:rsid w:val="00507811"/>
    <w:rsid w:val="00507AA5"/>
    <w:rsid w:val="00507E26"/>
    <w:rsid w:val="00510FF1"/>
    <w:rsid w:val="005113D3"/>
    <w:rsid w:val="005116D3"/>
    <w:rsid w:val="0051383C"/>
    <w:rsid w:val="005153F8"/>
    <w:rsid w:val="0051681D"/>
    <w:rsid w:val="00517121"/>
    <w:rsid w:val="00520737"/>
    <w:rsid w:val="0052165E"/>
    <w:rsid w:val="00521D95"/>
    <w:rsid w:val="00522F3A"/>
    <w:rsid w:val="00525531"/>
    <w:rsid w:val="00525F33"/>
    <w:rsid w:val="00525FF3"/>
    <w:rsid w:val="00526BDC"/>
    <w:rsid w:val="005275D7"/>
    <w:rsid w:val="00527B06"/>
    <w:rsid w:val="005309F7"/>
    <w:rsid w:val="00530BCF"/>
    <w:rsid w:val="00530CD7"/>
    <w:rsid w:val="00531234"/>
    <w:rsid w:val="0053214A"/>
    <w:rsid w:val="00532EA7"/>
    <w:rsid w:val="005342B5"/>
    <w:rsid w:val="00534826"/>
    <w:rsid w:val="00534F99"/>
    <w:rsid w:val="00535202"/>
    <w:rsid w:val="00536237"/>
    <w:rsid w:val="00536D26"/>
    <w:rsid w:val="005370B3"/>
    <w:rsid w:val="00537C98"/>
    <w:rsid w:val="00541A01"/>
    <w:rsid w:val="005431EF"/>
    <w:rsid w:val="00544963"/>
    <w:rsid w:val="00544B78"/>
    <w:rsid w:val="00544C88"/>
    <w:rsid w:val="00545CC4"/>
    <w:rsid w:val="0054605B"/>
    <w:rsid w:val="00546688"/>
    <w:rsid w:val="00546B6F"/>
    <w:rsid w:val="0054728D"/>
    <w:rsid w:val="00547531"/>
    <w:rsid w:val="0055041B"/>
    <w:rsid w:val="005506B6"/>
    <w:rsid w:val="0055143A"/>
    <w:rsid w:val="005526FB"/>
    <w:rsid w:val="00552962"/>
    <w:rsid w:val="00553C22"/>
    <w:rsid w:val="00556008"/>
    <w:rsid w:val="005569C5"/>
    <w:rsid w:val="00556F29"/>
    <w:rsid w:val="00557C64"/>
    <w:rsid w:val="00561ADD"/>
    <w:rsid w:val="00562C56"/>
    <w:rsid w:val="00562CDF"/>
    <w:rsid w:val="00563755"/>
    <w:rsid w:val="00563785"/>
    <w:rsid w:val="00563B5E"/>
    <w:rsid w:val="005647CC"/>
    <w:rsid w:val="00564B55"/>
    <w:rsid w:val="00564B8F"/>
    <w:rsid w:val="00564DAF"/>
    <w:rsid w:val="005652B9"/>
    <w:rsid w:val="0057058A"/>
    <w:rsid w:val="00571E37"/>
    <w:rsid w:val="00572A77"/>
    <w:rsid w:val="00573FEC"/>
    <w:rsid w:val="005743D5"/>
    <w:rsid w:val="00574C17"/>
    <w:rsid w:val="005758F9"/>
    <w:rsid w:val="00577907"/>
    <w:rsid w:val="00580328"/>
    <w:rsid w:val="00581333"/>
    <w:rsid w:val="00581EF4"/>
    <w:rsid w:val="00582BA2"/>
    <w:rsid w:val="00582F18"/>
    <w:rsid w:val="005857C5"/>
    <w:rsid w:val="0058636B"/>
    <w:rsid w:val="005864D8"/>
    <w:rsid w:val="0058738F"/>
    <w:rsid w:val="00587943"/>
    <w:rsid w:val="005902C8"/>
    <w:rsid w:val="005932EA"/>
    <w:rsid w:val="00594746"/>
    <w:rsid w:val="005952B7"/>
    <w:rsid w:val="0059535F"/>
    <w:rsid w:val="00595669"/>
    <w:rsid w:val="00595D14"/>
    <w:rsid w:val="005967EE"/>
    <w:rsid w:val="005A0C8A"/>
    <w:rsid w:val="005A0F39"/>
    <w:rsid w:val="005A1A97"/>
    <w:rsid w:val="005A2C54"/>
    <w:rsid w:val="005A2C6E"/>
    <w:rsid w:val="005A3754"/>
    <w:rsid w:val="005A3BC8"/>
    <w:rsid w:val="005A4EBB"/>
    <w:rsid w:val="005A50DF"/>
    <w:rsid w:val="005A6FBE"/>
    <w:rsid w:val="005A7CC4"/>
    <w:rsid w:val="005A7E62"/>
    <w:rsid w:val="005B02A9"/>
    <w:rsid w:val="005B1272"/>
    <w:rsid w:val="005B155F"/>
    <w:rsid w:val="005B19AE"/>
    <w:rsid w:val="005B2730"/>
    <w:rsid w:val="005B403E"/>
    <w:rsid w:val="005B49C9"/>
    <w:rsid w:val="005B6103"/>
    <w:rsid w:val="005B6C99"/>
    <w:rsid w:val="005B7770"/>
    <w:rsid w:val="005C0763"/>
    <w:rsid w:val="005C0A73"/>
    <w:rsid w:val="005C0C14"/>
    <w:rsid w:val="005C0FC0"/>
    <w:rsid w:val="005C2D10"/>
    <w:rsid w:val="005C3AD7"/>
    <w:rsid w:val="005C75D9"/>
    <w:rsid w:val="005C7B27"/>
    <w:rsid w:val="005D0A2F"/>
    <w:rsid w:val="005D14EF"/>
    <w:rsid w:val="005D19EF"/>
    <w:rsid w:val="005D2489"/>
    <w:rsid w:val="005D2BBC"/>
    <w:rsid w:val="005D2F62"/>
    <w:rsid w:val="005D6A64"/>
    <w:rsid w:val="005E0A03"/>
    <w:rsid w:val="005E0A3C"/>
    <w:rsid w:val="005E1348"/>
    <w:rsid w:val="005E2747"/>
    <w:rsid w:val="005E304D"/>
    <w:rsid w:val="005E3DF7"/>
    <w:rsid w:val="005E4EA1"/>
    <w:rsid w:val="005E6104"/>
    <w:rsid w:val="005E69C2"/>
    <w:rsid w:val="005E7161"/>
    <w:rsid w:val="005E722B"/>
    <w:rsid w:val="005E7924"/>
    <w:rsid w:val="005E7C84"/>
    <w:rsid w:val="005E7E70"/>
    <w:rsid w:val="005F00C3"/>
    <w:rsid w:val="005F1DB7"/>
    <w:rsid w:val="005F227C"/>
    <w:rsid w:val="005F233B"/>
    <w:rsid w:val="005F24B4"/>
    <w:rsid w:val="005F2FA3"/>
    <w:rsid w:val="005F4091"/>
    <w:rsid w:val="005F4368"/>
    <w:rsid w:val="005F4635"/>
    <w:rsid w:val="005F4C15"/>
    <w:rsid w:val="005F64EB"/>
    <w:rsid w:val="005F66B3"/>
    <w:rsid w:val="005F6A29"/>
    <w:rsid w:val="0060171E"/>
    <w:rsid w:val="00601BC0"/>
    <w:rsid w:val="00602B25"/>
    <w:rsid w:val="00602DB4"/>
    <w:rsid w:val="00602EC2"/>
    <w:rsid w:val="006035E1"/>
    <w:rsid w:val="00604370"/>
    <w:rsid w:val="006048FE"/>
    <w:rsid w:val="00605B03"/>
    <w:rsid w:val="0060662F"/>
    <w:rsid w:val="00607D8E"/>
    <w:rsid w:val="006107E5"/>
    <w:rsid w:val="00610B7E"/>
    <w:rsid w:val="006117D2"/>
    <w:rsid w:val="00612DB4"/>
    <w:rsid w:val="00613BA3"/>
    <w:rsid w:val="00614AE2"/>
    <w:rsid w:val="00615466"/>
    <w:rsid w:val="00616EFF"/>
    <w:rsid w:val="00617CDB"/>
    <w:rsid w:val="00620A10"/>
    <w:rsid w:val="00623600"/>
    <w:rsid w:val="00626D87"/>
    <w:rsid w:val="006273B1"/>
    <w:rsid w:val="00627C7E"/>
    <w:rsid w:val="0063086E"/>
    <w:rsid w:val="00630DD0"/>
    <w:rsid w:val="00632470"/>
    <w:rsid w:val="00632703"/>
    <w:rsid w:val="00632D25"/>
    <w:rsid w:val="006332C8"/>
    <w:rsid w:val="00633C50"/>
    <w:rsid w:val="00635628"/>
    <w:rsid w:val="00636062"/>
    <w:rsid w:val="00636B2C"/>
    <w:rsid w:val="006379ED"/>
    <w:rsid w:val="006409B5"/>
    <w:rsid w:val="0064179E"/>
    <w:rsid w:val="00641A68"/>
    <w:rsid w:val="00641CCB"/>
    <w:rsid w:val="00641DD4"/>
    <w:rsid w:val="00642CEE"/>
    <w:rsid w:val="00643799"/>
    <w:rsid w:val="006448BE"/>
    <w:rsid w:val="00644AC3"/>
    <w:rsid w:val="00645CA2"/>
    <w:rsid w:val="00645D2C"/>
    <w:rsid w:val="0064743E"/>
    <w:rsid w:val="006502F7"/>
    <w:rsid w:val="00650A5E"/>
    <w:rsid w:val="0065108F"/>
    <w:rsid w:val="00651877"/>
    <w:rsid w:val="006518EE"/>
    <w:rsid w:val="0065236A"/>
    <w:rsid w:val="006523D9"/>
    <w:rsid w:val="00653087"/>
    <w:rsid w:val="006531FA"/>
    <w:rsid w:val="006548F0"/>
    <w:rsid w:val="00654E5D"/>
    <w:rsid w:val="0065546B"/>
    <w:rsid w:val="00655B4C"/>
    <w:rsid w:val="00656DA6"/>
    <w:rsid w:val="0065743C"/>
    <w:rsid w:val="00660940"/>
    <w:rsid w:val="00662B21"/>
    <w:rsid w:val="00663426"/>
    <w:rsid w:val="00663B63"/>
    <w:rsid w:val="00663EB5"/>
    <w:rsid w:val="00664A3D"/>
    <w:rsid w:val="00664C34"/>
    <w:rsid w:val="00664F6E"/>
    <w:rsid w:val="0066687D"/>
    <w:rsid w:val="0067064C"/>
    <w:rsid w:val="00670C32"/>
    <w:rsid w:val="00672C36"/>
    <w:rsid w:val="00673270"/>
    <w:rsid w:val="006735B5"/>
    <w:rsid w:val="006736F9"/>
    <w:rsid w:val="00674F44"/>
    <w:rsid w:val="00675504"/>
    <w:rsid w:val="00676DC2"/>
    <w:rsid w:val="00676F22"/>
    <w:rsid w:val="00677170"/>
    <w:rsid w:val="00680C54"/>
    <w:rsid w:val="00681931"/>
    <w:rsid w:val="00681EDA"/>
    <w:rsid w:val="00682E47"/>
    <w:rsid w:val="00683241"/>
    <w:rsid w:val="00683476"/>
    <w:rsid w:val="006839EC"/>
    <w:rsid w:val="00684308"/>
    <w:rsid w:val="00684E4F"/>
    <w:rsid w:val="00685398"/>
    <w:rsid w:val="006860C5"/>
    <w:rsid w:val="00690171"/>
    <w:rsid w:val="006912BE"/>
    <w:rsid w:val="00693D01"/>
    <w:rsid w:val="00694521"/>
    <w:rsid w:val="006947B1"/>
    <w:rsid w:val="006949C6"/>
    <w:rsid w:val="006949FD"/>
    <w:rsid w:val="00694D07"/>
    <w:rsid w:val="00695EBA"/>
    <w:rsid w:val="00696214"/>
    <w:rsid w:val="00696B98"/>
    <w:rsid w:val="006971A7"/>
    <w:rsid w:val="006976BA"/>
    <w:rsid w:val="006A0BF7"/>
    <w:rsid w:val="006A1432"/>
    <w:rsid w:val="006A151E"/>
    <w:rsid w:val="006A3295"/>
    <w:rsid w:val="006A40AC"/>
    <w:rsid w:val="006A51AC"/>
    <w:rsid w:val="006A5C5A"/>
    <w:rsid w:val="006B0147"/>
    <w:rsid w:val="006B067A"/>
    <w:rsid w:val="006B1325"/>
    <w:rsid w:val="006B2763"/>
    <w:rsid w:val="006B3CA0"/>
    <w:rsid w:val="006B45AD"/>
    <w:rsid w:val="006B61D4"/>
    <w:rsid w:val="006B654D"/>
    <w:rsid w:val="006B68A6"/>
    <w:rsid w:val="006C085E"/>
    <w:rsid w:val="006C23DF"/>
    <w:rsid w:val="006C5778"/>
    <w:rsid w:val="006C6112"/>
    <w:rsid w:val="006C6831"/>
    <w:rsid w:val="006C7C99"/>
    <w:rsid w:val="006C7DD3"/>
    <w:rsid w:val="006D058A"/>
    <w:rsid w:val="006D19EA"/>
    <w:rsid w:val="006D2244"/>
    <w:rsid w:val="006D30B6"/>
    <w:rsid w:val="006D3158"/>
    <w:rsid w:val="006D32FA"/>
    <w:rsid w:val="006D3969"/>
    <w:rsid w:val="006D472F"/>
    <w:rsid w:val="006D4CB1"/>
    <w:rsid w:val="006D601A"/>
    <w:rsid w:val="006D60D6"/>
    <w:rsid w:val="006D68E7"/>
    <w:rsid w:val="006D719A"/>
    <w:rsid w:val="006D7BC9"/>
    <w:rsid w:val="006D7D83"/>
    <w:rsid w:val="006E2D7D"/>
    <w:rsid w:val="006E2E66"/>
    <w:rsid w:val="006E58E7"/>
    <w:rsid w:val="006E6E33"/>
    <w:rsid w:val="006F0D1D"/>
    <w:rsid w:val="006F2048"/>
    <w:rsid w:val="006F2566"/>
    <w:rsid w:val="006F265E"/>
    <w:rsid w:val="006F2AF6"/>
    <w:rsid w:val="006F3BD5"/>
    <w:rsid w:val="006F3D2D"/>
    <w:rsid w:val="006F4F1E"/>
    <w:rsid w:val="007008A6"/>
    <w:rsid w:val="00700949"/>
    <w:rsid w:val="00700F50"/>
    <w:rsid w:val="00701AD5"/>
    <w:rsid w:val="00704B4B"/>
    <w:rsid w:val="007056EC"/>
    <w:rsid w:val="007060D6"/>
    <w:rsid w:val="007109A4"/>
    <w:rsid w:val="007113F3"/>
    <w:rsid w:val="0071265E"/>
    <w:rsid w:val="0071289D"/>
    <w:rsid w:val="0071425A"/>
    <w:rsid w:val="0071588C"/>
    <w:rsid w:val="00715C7B"/>
    <w:rsid w:val="00716470"/>
    <w:rsid w:val="00716FBF"/>
    <w:rsid w:val="00717C29"/>
    <w:rsid w:val="00721E1F"/>
    <w:rsid w:val="0072398E"/>
    <w:rsid w:val="00723A9E"/>
    <w:rsid w:val="00724A94"/>
    <w:rsid w:val="00724BA4"/>
    <w:rsid w:val="0072514D"/>
    <w:rsid w:val="0072574E"/>
    <w:rsid w:val="00725961"/>
    <w:rsid w:val="00725E53"/>
    <w:rsid w:val="00726044"/>
    <w:rsid w:val="00726A2D"/>
    <w:rsid w:val="00726AF7"/>
    <w:rsid w:val="00726D1D"/>
    <w:rsid w:val="00727737"/>
    <w:rsid w:val="00727942"/>
    <w:rsid w:val="007310DC"/>
    <w:rsid w:val="00732202"/>
    <w:rsid w:val="00732692"/>
    <w:rsid w:val="007337A2"/>
    <w:rsid w:val="00733DDA"/>
    <w:rsid w:val="007354D4"/>
    <w:rsid w:val="00736265"/>
    <w:rsid w:val="007371E6"/>
    <w:rsid w:val="00737588"/>
    <w:rsid w:val="007406D4"/>
    <w:rsid w:val="0074242A"/>
    <w:rsid w:val="007429A9"/>
    <w:rsid w:val="00744A56"/>
    <w:rsid w:val="00745B31"/>
    <w:rsid w:val="0074714E"/>
    <w:rsid w:val="007474E0"/>
    <w:rsid w:val="00747791"/>
    <w:rsid w:val="007507FB"/>
    <w:rsid w:val="00751056"/>
    <w:rsid w:val="00751488"/>
    <w:rsid w:val="00751693"/>
    <w:rsid w:val="007525C1"/>
    <w:rsid w:val="007530A8"/>
    <w:rsid w:val="00753234"/>
    <w:rsid w:val="00753FEA"/>
    <w:rsid w:val="00754054"/>
    <w:rsid w:val="00755A1C"/>
    <w:rsid w:val="007601C2"/>
    <w:rsid w:val="007624BD"/>
    <w:rsid w:val="00762960"/>
    <w:rsid w:val="007638B9"/>
    <w:rsid w:val="00763A7E"/>
    <w:rsid w:val="00764BE3"/>
    <w:rsid w:val="007655D1"/>
    <w:rsid w:val="007661F2"/>
    <w:rsid w:val="00766D7F"/>
    <w:rsid w:val="00767902"/>
    <w:rsid w:val="007700D0"/>
    <w:rsid w:val="007703BA"/>
    <w:rsid w:val="00770C7C"/>
    <w:rsid w:val="00771A0C"/>
    <w:rsid w:val="007723D6"/>
    <w:rsid w:val="00772BCF"/>
    <w:rsid w:val="0077333D"/>
    <w:rsid w:val="00773358"/>
    <w:rsid w:val="00774A9B"/>
    <w:rsid w:val="00776E54"/>
    <w:rsid w:val="0077745D"/>
    <w:rsid w:val="00777F00"/>
    <w:rsid w:val="00780440"/>
    <w:rsid w:val="007808F4"/>
    <w:rsid w:val="007809A0"/>
    <w:rsid w:val="007819E9"/>
    <w:rsid w:val="00781C66"/>
    <w:rsid w:val="0078204F"/>
    <w:rsid w:val="007823D7"/>
    <w:rsid w:val="00782B06"/>
    <w:rsid w:val="00783CD5"/>
    <w:rsid w:val="0078484F"/>
    <w:rsid w:val="00786BCC"/>
    <w:rsid w:val="00790608"/>
    <w:rsid w:val="0079092A"/>
    <w:rsid w:val="00793890"/>
    <w:rsid w:val="00794087"/>
    <w:rsid w:val="0079467A"/>
    <w:rsid w:val="0079473F"/>
    <w:rsid w:val="00794EA3"/>
    <w:rsid w:val="0079575C"/>
    <w:rsid w:val="00795888"/>
    <w:rsid w:val="00795980"/>
    <w:rsid w:val="00795CAE"/>
    <w:rsid w:val="007968B0"/>
    <w:rsid w:val="007972F3"/>
    <w:rsid w:val="007978D9"/>
    <w:rsid w:val="007A05FD"/>
    <w:rsid w:val="007A06C4"/>
    <w:rsid w:val="007A0AAE"/>
    <w:rsid w:val="007A1DE2"/>
    <w:rsid w:val="007A3925"/>
    <w:rsid w:val="007A441D"/>
    <w:rsid w:val="007A4CC4"/>
    <w:rsid w:val="007A687B"/>
    <w:rsid w:val="007A7AB6"/>
    <w:rsid w:val="007B0720"/>
    <w:rsid w:val="007B2E68"/>
    <w:rsid w:val="007B37B1"/>
    <w:rsid w:val="007B38E6"/>
    <w:rsid w:val="007B45FB"/>
    <w:rsid w:val="007B4940"/>
    <w:rsid w:val="007B4A6B"/>
    <w:rsid w:val="007B62D9"/>
    <w:rsid w:val="007B6435"/>
    <w:rsid w:val="007B75ED"/>
    <w:rsid w:val="007B7A0C"/>
    <w:rsid w:val="007C079C"/>
    <w:rsid w:val="007C1BA2"/>
    <w:rsid w:val="007C2E9C"/>
    <w:rsid w:val="007C3E71"/>
    <w:rsid w:val="007C7A71"/>
    <w:rsid w:val="007D0DDC"/>
    <w:rsid w:val="007D2FC6"/>
    <w:rsid w:val="007D34EA"/>
    <w:rsid w:val="007D4D62"/>
    <w:rsid w:val="007D54D1"/>
    <w:rsid w:val="007D66D0"/>
    <w:rsid w:val="007D6779"/>
    <w:rsid w:val="007D6A1A"/>
    <w:rsid w:val="007D6E2B"/>
    <w:rsid w:val="007D716F"/>
    <w:rsid w:val="007D79C5"/>
    <w:rsid w:val="007E02C0"/>
    <w:rsid w:val="007E0A97"/>
    <w:rsid w:val="007E30D2"/>
    <w:rsid w:val="007E3950"/>
    <w:rsid w:val="007E3C2E"/>
    <w:rsid w:val="007E43C2"/>
    <w:rsid w:val="007E4A1C"/>
    <w:rsid w:val="007E64FD"/>
    <w:rsid w:val="007E6A4F"/>
    <w:rsid w:val="007F218A"/>
    <w:rsid w:val="007F2478"/>
    <w:rsid w:val="007F24C5"/>
    <w:rsid w:val="007F2795"/>
    <w:rsid w:val="007F2EC9"/>
    <w:rsid w:val="007F2F09"/>
    <w:rsid w:val="007F4C8D"/>
    <w:rsid w:val="007F5580"/>
    <w:rsid w:val="007F5980"/>
    <w:rsid w:val="007F7536"/>
    <w:rsid w:val="007F7A12"/>
    <w:rsid w:val="0080057B"/>
    <w:rsid w:val="00800E30"/>
    <w:rsid w:val="008012F4"/>
    <w:rsid w:val="008015DF"/>
    <w:rsid w:val="008021DE"/>
    <w:rsid w:val="00802726"/>
    <w:rsid w:val="00805469"/>
    <w:rsid w:val="0080552F"/>
    <w:rsid w:val="008057C9"/>
    <w:rsid w:val="00805E7F"/>
    <w:rsid w:val="00805F23"/>
    <w:rsid w:val="008063F5"/>
    <w:rsid w:val="0080710C"/>
    <w:rsid w:val="0080738F"/>
    <w:rsid w:val="0080798D"/>
    <w:rsid w:val="00807F48"/>
    <w:rsid w:val="00810EA5"/>
    <w:rsid w:val="00811A1C"/>
    <w:rsid w:val="00812A7C"/>
    <w:rsid w:val="00813EF7"/>
    <w:rsid w:val="00814AF4"/>
    <w:rsid w:val="00816BFC"/>
    <w:rsid w:val="008202D4"/>
    <w:rsid w:val="00820F6E"/>
    <w:rsid w:val="008229F0"/>
    <w:rsid w:val="0082387B"/>
    <w:rsid w:val="0082426F"/>
    <w:rsid w:val="00824CBF"/>
    <w:rsid w:val="00825129"/>
    <w:rsid w:val="00825548"/>
    <w:rsid w:val="00826753"/>
    <w:rsid w:val="00826D44"/>
    <w:rsid w:val="00827800"/>
    <w:rsid w:val="008278A3"/>
    <w:rsid w:val="00827C05"/>
    <w:rsid w:val="00831327"/>
    <w:rsid w:val="00831F22"/>
    <w:rsid w:val="00833016"/>
    <w:rsid w:val="008344A8"/>
    <w:rsid w:val="008346D3"/>
    <w:rsid w:val="00840E52"/>
    <w:rsid w:val="0084134E"/>
    <w:rsid w:val="00841951"/>
    <w:rsid w:val="0084246F"/>
    <w:rsid w:val="008424CF"/>
    <w:rsid w:val="0084300B"/>
    <w:rsid w:val="008437A0"/>
    <w:rsid w:val="008441F6"/>
    <w:rsid w:val="0084479C"/>
    <w:rsid w:val="00846081"/>
    <w:rsid w:val="0084679B"/>
    <w:rsid w:val="00850602"/>
    <w:rsid w:val="00850837"/>
    <w:rsid w:val="008508B3"/>
    <w:rsid w:val="0085196F"/>
    <w:rsid w:val="00851F4F"/>
    <w:rsid w:val="0085225D"/>
    <w:rsid w:val="00854E4B"/>
    <w:rsid w:val="0085594A"/>
    <w:rsid w:val="008562B7"/>
    <w:rsid w:val="008577B5"/>
    <w:rsid w:val="00857801"/>
    <w:rsid w:val="0086330B"/>
    <w:rsid w:val="00864037"/>
    <w:rsid w:val="008640B7"/>
    <w:rsid w:val="00866015"/>
    <w:rsid w:val="00866FA7"/>
    <w:rsid w:val="008672B4"/>
    <w:rsid w:val="00867AF5"/>
    <w:rsid w:val="00867E53"/>
    <w:rsid w:val="00870911"/>
    <w:rsid w:val="00871558"/>
    <w:rsid w:val="0087236F"/>
    <w:rsid w:val="008725CB"/>
    <w:rsid w:val="00872685"/>
    <w:rsid w:val="00875E7F"/>
    <w:rsid w:val="008770C4"/>
    <w:rsid w:val="008774F5"/>
    <w:rsid w:val="00877E76"/>
    <w:rsid w:val="008802E4"/>
    <w:rsid w:val="00881B9A"/>
    <w:rsid w:val="00881BA5"/>
    <w:rsid w:val="00882505"/>
    <w:rsid w:val="008830F5"/>
    <w:rsid w:val="00884646"/>
    <w:rsid w:val="00884AC4"/>
    <w:rsid w:val="00886411"/>
    <w:rsid w:val="008937AB"/>
    <w:rsid w:val="00894E15"/>
    <w:rsid w:val="00896CDF"/>
    <w:rsid w:val="00897D73"/>
    <w:rsid w:val="008A1912"/>
    <w:rsid w:val="008A44A9"/>
    <w:rsid w:val="008A5608"/>
    <w:rsid w:val="008A5BE4"/>
    <w:rsid w:val="008A5D4F"/>
    <w:rsid w:val="008A77A9"/>
    <w:rsid w:val="008B048B"/>
    <w:rsid w:val="008B0BA5"/>
    <w:rsid w:val="008B2CCA"/>
    <w:rsid w:val="008B3C93"/>
    <w:rsid w:val="008B43E9"/>
    <w:rsid w:val="008B492B"/>
    <w:rsid w:val="008B57E1"/>
    <w:rsid w:val="008B6205"/>
    <w:rsid w:val="008C0D2F"/>
    <w:rsid w:val="008C4BA5"/>
    <w:rsid w:val="008C52F9"/>
    <w:rsid w:val="008C5D8E"/>
    <w:rsid w:val="008C6DC1"/>
    <w:rsid w:val="008C7C54"/>
    <w:rsid w:val="008D05CA"/>
    <w:rsid w:val="008D1BB3"/>
    <w:rsid w:val="008D28E4"/>
    <w:rsid w:val="008D2A97"/>
    <w:rsid w:val="008D353F"/>
    <w:rsid w:val="008D35C2"/>
    <w:rsid w:val="008D3EFF"/>
    <w:rsid w:val="008D5536"/>
    <w:rsid w:val="008D65E8"/>
    <w:rsid w:val="008D67EF"/>
    <w:rsid w:val="008D7B67"/>
    <w:rsid w:val="008E08A9"/>
    <w:rsid w:val="008E09D1"/>
    <w:rsid w:val="008E135A"/>
    <w:rsid w:val="008E179F"/>
    <w:rsid w:val="008E2CA5"/>
    <w:rsid w:val="008E2F77"/>
    <w:rsid w:val="008E3A65"/>
    <w:rsid w:val="008E3D56"/>
    <w:rsid w:val="008E43B8"/>
    <w:rsid w:val="008E44E8"/>
    <w:rsid w:val="008E58FA"/>
    <w:rsid w:val="008E5F4B"/>
    <w:rsid w:val="008E6AE5"/>
    <w:rsid w:val="008F029D"/>
    <w:rsid w:val="008F06E8"/>
    <w:rsid w:val="008F0F21"/>
    <w:rsid w:val="008F19E8"/>
    <w:rsid w:val="008F1B69"/>
    <w:rsid w:val="008F1FEE"/>
    <w:rsid w:val="008F3BF5"/>
    <w:rsid w:val="008F4DE6"/>
    <w:rsid w:val="008F5461"/>
    <w:rsid w:val="008F6C85"/>
    <w:rsid w:val="008F7DAB"/>
    <w:rsid w:val="008F7DD9"/>
    <w:rsid w:val="00900279"/>
    <w:rsid w:val="009003A5"/>
    <w:rsid w:val="00900EA9"/>
    <w:rsid w:val="00901112"/>
    <w:rsid w:val="00901909"/>
    <w:rsid w:val="00901CC1"/>
    <w:rsid w:val="009026D6"/>
    <w:rsid w:val="00902895"/>
    <w:rsid w:val="00902C7D"/>
    <w:rsid w:val="0090381C"/>
    <w:rsid w:val="009049A6"/>
    <w:rsid w:val="009049D8"/>
    <w:rsid w:val="00906BB1"/>
    <w:rsid w:val="0090713C"/>
    <w:rsid w:val="00910EE2"/>
    <w:rsid w:val="0091116E"/>
    <w:rsid w:val="00911743"/>
    <w:rsid w:val="009118E5"/>
    <w:rsid w:val="0091198A"/>
    <w:rsid w:val="00911A90"/>
    <w:rsid w:val="00911EE1"/>
    <w:rsid w:val="00912DEB"/>
    <w:rsid w:val="009133E0"/>
    <w:rsid w:val="0091603F"/>
    <w:rsid w:val="0091626C"/>
    <w:rsid w:val="009163FC"/>
    <w:rsid w:val="0092027A"/>
    <w:rsid w:val="00920E03"/>
    <w:rsid w:val="00921E59"/>
    <w:rsid w:val="00922A0E"/>
    <w:rsid w:val="00923388"/>
    <w:rsid w:val="009248B4"/>
    <w:rsid w:val="00925439"/>
    <w:rsid w:val="00926F34"/>
    <w:rsid w:val="0092742B"/>
    <w:rsid w:val="009305F3"/>
    <w:rsid w:val="009312E1"/>
    <w:rsid w:val="0093207A"/>
    <w:rsid w:val="009332EE"/>
    <w:rsid w:val="0093507E"/>
    <w:rsid w:val="0093521D"/>
    <w:rsid w:val="00935D0A"/>
    <w:rsid w:val="00935EA4"/>
    <w:rsid w:val="009363A3"/>
    <w:rsid w:val="00936665"/>
    <w:rsid w:val="00936CAA"/>
    <w:rsid w:val="00940A25"/>
    <w:rsid w:val="0094124D"/>
    <w:rsid w:val="00941483"/>
    <w:rsid w:val="00941DFD"/>
    <w:rsid w:val="00942167"/>
    <w:rsid w:val="009431E9"/>
    <w:rsid w:val="00943A51"/>
    <w:rsid w:val="00943FB7"/>
    <w:rsid w:val="00947442"/>
    <w:rsid w:val="0094768F"/>
    <w:rsid w:val="00950752"/>
    <w:rsid w:val="00950F88"/>
    <w:rsid w:val="009510F3"/>
    <w:rsid w:val="009518B5"/>
    <w:rsid w:val="00951FED"/>
    <w:rsid w:val="00954079"/>
    <w:rsid w:val="00954A06"/>
    <w:rsid w:val="009564CF"/>
    <w:rsid w:val="0095667F"/>
    <w:rsid w:val="009566B3"/>
    <w:rsid w:val="00957182"/>
    <w:rsid w:val="00960BA7"/>
    <w:rsid w:val="00961ACE"/>
    <w:rsid w:val="00961E91"/>
    <w:rsid w:val="009635F5"/>
    <w:rsid w:val="00963739"/>
    <w:rsid w:val="00963DAF"/>
    <w:rsid w:val="00965785"/>
    <w:rsid w:val="00973ACA"/>
    <w:rsid w:val="009747B1"/>
    <w:rsid w:val="00974BDA"/>
    <w:rsid w:val="00974E59"/>
    <w:rsid w:val="009769FA"/>
    <w:rsid w:val="00980EE4"/>
    <w:rsid w:val="009816C1"/>
    <w:rsid w:val="009822D6"/>
    <w:rsid w:val="00982B8E"/>
    <w:rsid w:val="00985525"/>
    <w:rsid w:val="0098737D"/>
    <w:rsid w:val="009879AB"/>
    <w:rsid w:val="00990B1B"/>
    <w:rsid w:val="00990FC3"/>
    <w:rsid w:val="00992793"/>
    <w:rsid w:val="009929A2"/>
    <w:rsid w:val="00992D79"/>
    <w:rsid w:val="00993A9D"/>
    <w:rsid w:val="00993C1A"/>
    <w:rsid w:val="00994F31"/>
    <w:rsid w:val="00995CB0"/>
    <w:rsid w:val="00996A99"/>
    <w:rsid w:val="00996B44"/>
    <w:rsid w:val="009971C1"/>
    <w:rsid w:val="009A00BF"/>
    <w:rsid w:val="009A0E05"/>
    <w:rsid w:val="009A0F92"/>
    <w:rsid w:val="009A291E"/>
    <w:rsid w:val="009A2F4C"/>
    <w:rsid w:val="009A4959"/>
    <w:rsid w:val="009A67D9"/>
    <w:rsid w:val="009A6F6D"/>
    <w:rsid w:val="009A7E82"/>
    <w:rsid w:val="009A7FEC"/>
    <w:rsid w:val="009B0421"/>
    <w:rsid w:val="009B0CBF"/>
    <w:rsid w:val="009B166D"/>
    <w:rsid w:val="009B2319"/>
    <w:rsid w:val="009B2CB2"/>
    <w:rsid w:val="009B47F3"/>
    <w:rsid w:val="009B4D91"/>
    <w:rsid w:val="009B504D"/>
    <w:rsid w:val="009B5075"/>
    <w:rsid w:val="009B577F"/>
    <w:rsid w:val="009B5982"/>
    <w:rsid w:val="009B6867"/>
    <w:rsid w:val="009B7370"/>
    <w:rsid w:val="009B7C9C"/>
    <w:rsid w:val="009B7DFC"/>
    <w:rsid w:val="009C057D"/>
    <w:rsid w:val="009C0EC5"/>
    <w:rsid w:val="009C1604"/>
    <w:rsid w:val="009C1CD9"/>
    <w:rsid w:val="009C2224"/>
    <w:rsid w:val="009C2F77"/>
    <w:rsid w:val="009C34DC"/>
    <w:rsid w:val="009C5C1C"/>
    <w:rsid w:val="009C772D"/>
    <w:rsid w:val="009C79D5"/>
    <w:rsid w:val="009D0340"/>
    <w:rsid w:val="009D09A3"/>
    <w:rsid w:val="009D149D"/>
    <w:rsid w:val="009D1B86"/>
    <w:rsid w:val="009D2435"/>
    <w:rsid w:val="009D31C7"/>
    <w:rsid w:val="009D3986"/>
    <w:rsid w:val="009D3DF9"/>
    <w:rsid w:val="009D4E61"/>
    <w:rsid w:val="009D5150"/>
    <w:rsid w:val="009E08CB"/>
    <w:rsid w:val="009E106F"/>
    <w:rsid w:val="009E2268"/>
    <w:rsid w:val="009E29B8"/>
    <w:rsid w:val="009E455C"/>
    <w:rsid w:val="009E4998"/>
    <w:rsid w:val="009E4A07"/>
    <w:rsid w:val="009F0C56"/>
    <w:rsid w:val="009F288A"/>
    <w:rsid w:val="009F2D1C"/>
    <w:rsid w:val="009F2F1C"/>
    <w:rsid w:val="009F3D2D"/>
    <w:rsid w:val="009F491A"/>
    <w:rsid w:val="009F6855"/>
    <w:rsid w:val="009F7127"/>
    <w:rsid w:val="009F78E7"/>
    <w:rsid w:val="009F7B65"/>
    <w:rsid w:val="009F7EE3"/>
    <w:rsid w:val="00A006E5"/>
    <w:rsid w:val="00A00A24"/>
    <w:rsid w:val="00A0311D"/>
    <w:rsid w:val="00A042B0"/>
    <w:rsid w:val="00A044E5"/>
    <w:rsid w:val="00A05338"/>
    <w:rsid w:val="00A0641C"/>
    <w:rsid w:val="00A06FE7"/>
    <w:rsid w:val="00A07D29"/>
    <w:rsid w:val="00A10AA6"/>
    <w:rsid w:val="00A10C85"/>
    <w:rsid w:val="00A11F11"/>
    <w:rsid w:val="00A12619"/>
    <w:rsid w:val="00A12832"/>
    <w:rsid w:val="00A134E2"/>
    <w:rsid w:val="00A13630"/>
    <w:rsid w:val="00A141CB"/>
    <w:rsid w:val="00A15494"/>
    <w:rsid w:val="00A15A49"/>
    <w:rsid w:val="00A1667C"/>
    <w:rsid w:val="00A16D83"/>
    <w:rsid w:val="00A17AA8"/>
    <w:rsid w:val="00A17BAC"/>
    <w:rsid w:val="00A206D2"/>
    <w:rsid w:val="00A21826"/>
    <w:rsid w:val="00A220D3"/>
    <w:rsid w:val="00A22410"/>
    <w:rsid w:val="00A23046"/>
    <w:rsid w:val="00A23F09"/>
    <w:rsid w:val="00A245E3"/>
    <w:rsid w:val="00A24B59"/>
    <w:rsid w:val="00A24E1A"/>
    <w:rsid w:val="00A250E5"/>
    <w:rsid w:val="00A25EF4"/>
    <w:rsid w:val="00A26055"/>
    <w:rsid w:val="00A26157"/>
    <w:rsid w:val="00A26714"/>
    <w:rsid w:val="00A26A78"/>
    <w:rsid w:val="00A30F18"/>
    <w:rsid w:val="00A3104B"/>
    <w:rsid w:val="00A324AF"/>
    <w:rsid w:val="00A32EB6"/>
    <w:rsid w:val="00A33A1D"/>
    <w:rsid w:val="00A350D4"/>
    <w:rsid w:val="00A359B9"/>
    <w:rsid w:val="00A4262E"/>
    <w:rsid w:val="00A45557"/>
    <w:rsid w:val="00A45D45"/>
    <w:rsid w:val="00A47FBC"/>
    <w:rsid w:val="00A522F3"/>
    <w:rsid w:val="00A52D8B"/>
    <w:rsid w:val="00A54601"/>
    <w:rsid w:val="00A54B54"/>
    <w:rsid w:val="00A54C86"/>
    <w:rsid w:val="00A54DC4"/>
    <w:rsid w:val="00A5562D"/>
    <w:rsid w:val="00A557F2"/>
    <w:rsid w:val="00A571D6"/>
    <w:rsid w:val="00A57B26"/>
    <w:rsid w:val="00A6060F"/>
    <w:rsid w:val="00A60BBC"/>
    <w:rsid w:val="00A64D83"/>
    <w:rsid w:val="00A671D4"/>
    <w:rsid w:val="00A676C4"/>
    <w:rsid w:val="00A7052D"/>
    <w:rsid w:val="00A71F32"/>
    <w:rsid w:val="00A7251B"/>
    <w:rsid w:val="00A72684"/>
    <w:rsid w:val="00A72961"/>
    <w:rsid w:val="00A7315E"/>
    <w:rsid w:val="00A73CCE"/>
    <w:rsid w:val="00A74D1A"/>
    <w:rsid w:val="00A76CD7"/>
    <w:rsid w:val="00A77556"/>
    <w:rsid w:val="00A77A8E"/>
    <w:rsid w:val="00A80FA5"/>
    <w:rsid w:val="00A81075"/>
    <w:rsid w:val="00A815A3"/>
    <w:rsid w:val="00A81E39"/>
    <w:rsid w:val="00A84009"/>
    <w:rsid w:val="00A84034"/>
    <w:rsid w:val="00A869C3"/>
    <w:rsid w:val="00A87315"/>
    <w:rsid w:val="00A909D7"/>
    <w:rsid w:val="00A9223A"/>
    <w:rsid w:val="00A9294E"/>
    <w:rsid w:val="00A93208"/>
    <w:rsid w:val="00A947DE"/>
    <w:rsid w:val="00A9546E"/>
    <w:rsid w:val="00A972DE"/>
    <w:rsid w:val="00A978C0"/>
    <w:rsid w:val="00A97C2A"/>
    <w:rsid w:val="00AA0126"/>
    <w:rsid w:val="00AA0AC2"/>
    <w:rsid w:val="00AA2F44"/>
    <w:rsid w:val="00AA310D"/>
    <w:rsid w:val="00AA4258"/>
    <w:rsid w:val="00AA50B1"/>
    <w:rsid w:val="00AA6435"/>
    <w:rsid w:val="00AA701B"/>
    <w:rsid w:val="00AA7409"/>
    <w:rsid w:val="00AA74E8"/>
    <w:rsid w:val="00AA7820"/>
    <w:rsid w:val="00AB13A3"/>
    <w:rsid w:val="00AB2C96"/>
    <w:rsid w:val="00AB3213"/>
    <w:rsid w:val="00AB3314"/>
    <w:rsid w:val="00AB3B62"/>
    <w:rsid w:val="00AB4024"/>
    <w:rsid w:val="00AB4161"/>
    <w:rsid w:val="00AB52E9"/>
    <w:rsid w:val="00AB598D"/>
    <w:rsid w:val="00AB7BA3"/>
    <w:rsid w:val="00AC2FFD"/>
    <w:rsid w:val="00AC3449"/>
    <w:rsid w:val="00AC4209"/>
    <w:rsid w:val="00AC60EB"/>
    <w:rsid w:val="00AC6437"/>
    <w:rsid w:val="00AC690F"/>
    <w:rsid w:val="00AC6D37"/>
    <w:rsid w:val="00AC6F19"/>
    <w:rsid w:val="00AC72D8"/>
    <w:rsid w:val="00AC782A"/>
    <w:rsid w:val="00AD029B"/>
    <w:rsid w:val="00AD06AA"/>
    <w:rsid w:val="00AD0E0B"/>
    <w:rsid w:val="00AD14B0"/>
    <w:rsid w:val="00AD1593"/>
    <w:rsid w:val="00AD16DF"/>
    <w:rsid w:val="00AD30E8"/>
    <w:rsid w:val="00AD31F0"/>
    <w:rsid w:val="00AD5CE3"/>
    <w:rsid w:val="00AD5E4F"/>
    <w:rsid w:val="00AD6054"/>
    <w:rsid w:val="00AD6181"/>
    <w:rsid w:val="00AD62FD"/>
    <w:rsid w:val="00AD6854"/>
    <w:rsid w:val="00AD7675"/>
    <w:rsid w:val="00AD7D72"/>
    <w:rsid w:val="00AE07CD"/>
    <w:rsid w:val="00AE0BEE"/>
    <w:rsid w:val="00AE0F4F"/>
    <w:rsid w:val="00AE1241"/>
    <w:rsid w:val="00AE1F8F"/>
    <w:rsid w:val="00AE22F7"/>
    <w:rsid w:val="00AE2903"/>
    <w:rsid w:val="00AE3194"/>
    <w:rsid w:val="00AE4048"/>
    <w:rsid w:val="00AE4433"/>
    <w:rsid w:val="00AE4FD0"/>
    <w:rsid w:val="00AE51DA"/>
    <w:rsid w:val="00AE51EC"/>
    <w:rsid w:val="00AE5259"/>
    <w:rsid w:val="00AE550C"/>
    <w:rsid w:val="00AE5AE0"/>
    <w:rsid w:val="00AE66D0"/>
    <w:rsid w:val="00AE6EFB"/>
    <w:rsid w:val="00AE7323"/>
    <w:rsid w:val="00AE792C"/>
    <w:rsid w:val="00AF0351"/>
    <w:rsid w:val="00AF2DFE"/>
    <w:rsid w:val="00AF3934"/>
    <w:rsid w:val="00AF4426"/>
    <w:rsid w:val="00AF6EFA"/>
    <w:rsid w:val="00B01577"/>
    <w:rsid w:val="00B01AE4"/>
    <w:rsid w:val="00B02081"/>
    <w:rsid w:val="00B02801"/>
    <w:rsid w:val="00B0298E"/>
    <w:rsid w:val="00B045D1"/>
    <w:rsid w:val="00B0479B"/>
    <w:rsid w:val="00B04D0F"/>
    <w:rsid w:val="00B0579B"/>
    <w:rsid w:val="00B1059F"/>
    <w:rsid w:val="00B10878"/>
    <w:rsid w:val="00B10FCC"/>
    <w:rsid w:val="00B1117C"/>
    <w:rsid w:val="00B1155E"/>
    <w:rsid w:val="00B11C76"/>
    <w:rsid w:val="00B11E06"/>
    <w:rsid w:val="00B13344"/>
    <w:rsid w:val="00B137DA"/>
    <w:rsid w:val="00B16603"/>
    <w:rsid w:val="00B17941"/>
    <w:rsid w:val="00B17F70"/>
    <w:rsid w:val="00B24BCF"/>
    <w:rsid w:val="00B251E2"/>
    <w:rsid w:val="00B25501"/>
    <w:rsid w:val="00B25C3A"/>
    <w:rsid w:val="00B3255F"/>
    <w:rsid w:val="00B35DC5"/>
    <w:rsid w:val="00B36733"/>
    <w:rsid w:val="00B37454"/>
    <w:rsid w:val="00B3766D"/>
    <w:rsid w:val="00B37F1F"/>
    <w:rsid w:val="00B402C4"/>
    <w:rsid w:val="00B426EB"/>
    <w:rsid w:val="00B4393D"/>
    <w:rsid w:val="00B43E7F"/>
    <w:rsid w:val="00B44BF3"/>
    <w:rsid w:val="00B45868"/>
    <w:rsid w:val="00B46639"/>
    <w:rsid w:val="00B51085"/>
    <w:rsid w:val="00B524B2"/>
    <w:rsid w:val="00B52FDD"/>
    <w:rsid w:val="00B53EA3"/>
    <w:rsid w:val="00B53FF8"/>
    <w:rsid w:val="00B57EF0"/>
    <w:rsid w:val="00B60811"/>
    <w:rsid w:val="00B60AF7"/>
    <w:rsid w:val="00B60BFF"/>
    <w:rsid w:val="00B62D5B"/>
    <w:rsid w:val="00B63828"/>
    <w:rsid w:val="00B63C23"/>
    <w:rsid w:val="00B65781"/>
    <w:rsid w:val="00B65AB7"/>
    <w:rsid w:val="00B65DC4"/>
    <w:rsid w:val="00B673A9"/>
    <w:rsid w:val="00B6740C"/>
    <w:rsid w:val="00B67603"/>
    <w:rsid w:val="00B678D9"/>
    <w:rsid w:val="00B679CF"/>
    <w:rsid w:val="00B705FF"/>
    <w:rsid w:val="00B712AB"/>
    <w:rsid w:val="00B716F9"/>
    <w:rsid w:val="00B72C97"/>
    <w:rsid w:val="00B73C3E"/>
    <w:rsid w:val="00B745E9"/>
    <w:rsid w:val="00B76153"/>
    <w:rsid w:val="00B76CB2"/>
    <w:rsid w:val="00B777E8"/>
    <w:rsid w:val="00B8160C"/>
    <w:rsid w:val="00B82882"/>
    <w:rsid w:val="00B82B93"/>
    <w:rsid w:val="00B82EEA"/>
    <w:rsid w:val="00B83161"/>
    <w:rsid w:val="00B845D9"/>
    <w:rsid w:val="00B8653D"/>
    <w:rsid w:val="00B87CF7"/>
    <w:rsid w:val="00B91FDB"/>
    <w:rsid w:val="00B92290"/>
    <w:rsid w:val="00B92BE8"/>
    <w:rsid w:val="00B92DE8"/>
    <w:rsid w:val="00B94C1D"/>
    <w:rsid w:val="00B954A4"/>
    <w:rsid w:val="00B958A5"/>
    <w:rsid w:val="00B97362"/>
    <w:rsid w:val="00BA0B51"/>
    <w:rsid w:val="00BA113A"/>
    <w:rsid w:val="00BA15AA"/>
    <w:rsid w:val="00BA1D92"/>
    <w:rsid w:val="00BA26CC"/>
    <w:rsid w:val="00BA2C1E"/>
    <w:rsid w:val="00BA2D43"/>
    <w:rsid w:val="00BB1658"/>
    <w:rsid w:val="00BB2532"/>
    <w:rsid w:val="00BB3818"/>
    <w:rsid w:val="00BB3F3A"/>
    <w:rsid w:val="00BB409F"/>
    <w:rsid w:val="00BB4780"/>
    <w:rsid w:val="00BB51F6"/>
    <w:rsid w:val="00BB5588"/>
    <w:rsid w:val="00BB585A"/>
    <w:rsid w:val="00BB68BF"/>
    <w:rsid w:val="00BB6E34"/>
    <w:rsid w:val="00BC1A93"/>
    <w:rsid w:val="00BC24B1"/>
    <w:rsid w:val="00BC2FEA"/>
    <w:rsid w:val="00BC34A5"/>
    <w:rsid w:val="00BC378A"/>
    <w:rsid w:val="00BC3C02"/>
    <w:rsid w:val="00BC4533"/>
    <w:rsid w:val="00BC4EBB"/>
    <w:rsid w:val="00BC508A"/>
    <w:rsid w:val="00BC517B"/>
    <w:rsid w:val="00BC5DFD"/>
    <w:rsid w:val="00BC6004"/>
    <w:rsid w:val="00BC61A2"/>
    <w:rsid w:val="00BC6419"/>
    <w:rsid w:val="00BC6546"/>
    <w:rsid w:val="00BC6A6F"/>
    <w:rsid w:val="00BC6E54"/>
    <w:rsid w:val="00BC7817"/>
    <w:rsid w:val="00BC788E"/>
    <w:rsid w:val="00BD1889"/>
    <w:rsid w:val="00BD24B4"/>
    <w:rsid w:val="00BD276C"/>
    <w:rsid w:val="00BD29EF"/>
    <w:rsid w:val="00BD2A62"/>
    <w:rsid w:val="00BD3610"/>
    <w:rsid w:val="00BD43E8"/>
    <w:rsid w:val="00BD551C"/>
    <w:rsid w:val="00BD6527"/>
    <w:rsid w:val="00BD7A16"/>
    <w:rsid w:val="00BD7ABD"/>
    <w:rsid w:val="00BE1DE8"/>
    <w:rsid w:val="00BE274C"/>
    <w:rsid w:val="00BE3A8B"/>
    <w:rsid w:val="00BE3AF9"/>
    <w:rsid w:val="00BE4FEF"/>
    <w:rsid w:val="00BE5D19"/>
    <w:rsid w:val="00BE67D0"/>
    <w:rsid w:val="00BF0E97"/>
    <w:rsid w:val="00BF17B3"/>
    <w:rsid w:val="00BF2935"/>
    <w:rsid w:val="00BF2B13"/>
    <w:rsid w:val="00BF2BD5"/>
    <w:rsid w:val="00BF2CC0"/>
    <w:rsid w:val="00BF4117"/>
    <w:rsid w:val="00BF41F2"/>
    <w:rsid w:val="00BF4FB3"/>
    <w:rsid w:val="00BF50DA"/>
    <w:rsid w:val="00BF523A"/>
    <w:rsid w:val="00BF54BD"/>
    <w:rsid w:val="00BF5E2A"/>
    <w:rsid w:val="00C00072"/>
    <w:rsid w:val="00C008C8"/>
    <w:rsid w:val="00C02E09"/>
    <w:rsid w:val="00C030C1"/>
    <w:rsid w:val="00C0375C"/>
    <w:rsid w:val="00C04AF6"/>
    <w:rsid w:val="00C10071"/>
    <w:rsid w:val="00C114C1"/>
    <w:rsid w:val="00C11C17"/>
    <w:rsid w:val="00C12269"/>
    <w:rsid w:val="00C14CA2"/>
    <w:rsid w:val="00C1512B"/>
    <w:rsid w:val="00C152DB"/>
    <w:rsid w:val="00C15472"/>
    <w:rsid w:val="00C1576A"/>
    <w:rsid w:val="00C16C0A"/>
    <w:rsid w:val="00C17813"/>
    <w:rsid w:val="00C17FF4"/>
    <w:rsid w:val="00C20161"/>
    <w:rsid w:val="00C2269F"/>
    <w:rsid w:val="00C22A27"/>
    <w:rsid w:val="00C24658"/>
    <w:rsid w:val="00C25993"/>
    <w:rsid w:val="00C26983"/>
    <w:rsid w:val="00C26D90"/>
    <w:rsid w:val="00C27223"/>
    <w:rsid w:val="00C27859"/>
    <w:rsid w:val="00C27D53"/>
    <w:rsid w:val="00C27F84"/>
    <w:rsid w:val="00C30367"/>
    <w:rsid w:val="00C30B85"/>
    <w:rsid w:val="00C320DD"/>
    <w:rsid w:val="00C3211A"/>
    <w:rsid w:val="00C32CFD"/>
    <w:rsid w:val="00C32F2E"/>
    <w:rsid w:val="00C34551"/>
    <w:rsid w:val="00C34F49"/>
    <w:rsid w:val="00C35033"/>
    <w:rsid w:val="00C35571"/>
    <w:rsid w:val="00C35842"/>
    <w:rsid w:val="00C35E0B"/>
    <w:rsid w:val="00C36943"/>
    <w:rsid w:val="00C3754B"/>
    <w:rsid w:val="00C37944"/>
    <w:rsid w:val="00C4096F"/>
    <w:rsid w:val="00C40999"/>
    <w:rsid w:val="00C41491"/>
    <w:rsid w:val="00C414AA"/>
    <w:rsid w:val="00C42191"/>
    <w:rsid w:val="00C42680"/>
    <w:rsid w:val="00C43C62"/>
    <w:rsid w:val="00C43C7C"/>
    <w:rsid w:val="00C43EE0"/>
    <w:rsid w:val="00C43F5A"/>
    <w:rsid w:val="00C46754"/>
    <w:rsid w:val="00C472CD"/>
    <w:rsid w:val="00C4741E"/>
    <w:rsid w:val="00C47791"/>
    <w:rsid w:val="00C51163"/>
    <w:rsid w:val="00C51AC9"/>
    <w:rsid w:val="00C51F04"/>
    <w:rsid w:val="00C53481"/>
    <w:rsid w:val="00C53A53"/>
    <w:rsid w:val="00C53CAB"/>
    <w:rsid w:val="00C53DED"/>
    <w:rsid w:val="00C54236"/>
    <w:rsid w:val="00C55272"/>
    <w:rsid w:val="00C5575F"/>
    <w:rsid w:val="00C567C0"/>
    <w:rsid w:val="00C602BA"/>
    <w:rsid w:val="00C61DB3"/>
    <w:rsid w:val="00C62868"/>
    <w:rsid w:val="00C628A0"/>
    <w:rsid w:val="00C62A2F"/>
    <w:rsid w:val="00C63D23"/>
    <w:rsid w:val="00C6420A"/>
    <w:rsid w:val="00C64321"/>
    <w:rsid w:val="00C65629"/>
    <w:rsid w:val="00C658FA"/>
    <w:rsid w:val="00C660FF"/>
    <w:rsid w:val="00C67559"/>
    <w:rsid w:val="00C679CF"/>
    <w:rsid w:val="00C70EE1"/>
    <w:rsid w:val="00C722BE"/>
    <w:rsid w:val="00C72707"/>
    <w:rsid w:val="00C73C26"/>
    <w:rsid w:val="00C73C3E"/>
    <w:rsid w:val="00C740AC"/>
    <w:rsid w:val="00C74318"/>
    <w:rsid w:val="00C75199"/>
    <w:rsid w:val="00C76104"/>
    <w:rsid w:val="00C76B45"/>
    <w:rsid w:val="00C771FE"/>
    <w:rsid w:val="00C8173F"/>
    <w:rsid w:val="00C8213E"/>
    <w:rsid w:val="00C82855"/>
    <w:rsid w:val="00C83931"/>
    <w:rsid w:val="00C840B6"/>
    <w:rsid w:val="00C878BB"/>
    <w:rsid w:val="00C87D20"/>
    <w:rsid w:val="00C90B21"/>
    <w:rsid w:val="00C90B23"/>
    <w:rsid w:val="00C92019"/>
    <w:rsid w:val="00C932B4"/>
    <w:rsid w:val="00C93421"/>
    <w:rsid w:val="00C942F7"/>
    <w:rsid w:val="00C9545F"/>
    <w:rsid w:val="00C9569D"/>
    <w:rsid w:val="00C96D49"/>
    <w:rsid w:val="00C97380"/>
    <w:rsid w:val="00CA0795"/>
    <w:rsid w:val="00CA1360"/>
    <w:rsid w:val="00CA237D"/>
    <w:rsid w:val="00CA3E93"/>
    <w:rsid w:val="00CA5F73"/>
    <w:rsid w:val="00CB2318"/>
    <w:rsid w:val="00CB2837"/>
    <w:rsid w:val="00CB296E"/>
    <w:rsid w:val="00CB3E95"/>
    <w:rsid w:val="00CB4D0F"/>
    <w:rsid w:val="00CB5A5D"/>
    <w:rsid w:val="00CB622C"/>
    <w:rsid w:val="00CB7142"/>
    <w:rsid w:val="00CC02EB"/>
    <w:rsid w:val="00CC05F7"/>
    <w:rsid w:val="00CC10FD"/>
    <w:rsid w:val="00CC1E60"/>
    <w:rsid w:val="00CC1FC2"/>
    <w:rsid w:val="00CC2A78"/>
    <w:rsid w:val="00CC3410"/>
    <w:rsid w:val="00CC38ED"/>
    <w:rsid w:val="00CC3B7F"/>
    <w:rsid w:val="00CC3E3A"/>
    <w:rsid w:val="00CC472E"/>
    <w:rsid w:val="00CC4DD3"/>
    <w:rsid w:val="00CC4E29"/>
    <w:rsid w:val="00CC556C"/>
    <w:rsid w:val="00CC7075"/>
    <w:rsid w:val="00CC73F5"/>
    <w:rsid w:val="00CC796A"/>
    <w:rsid w:val="00CD0914"/>
    <w:rsid w:val="00CD1621"/>
    <w:rsid w:val="00CD16B1"/>
    <w:rsid w:val="00CD2A43"/>
    <w:rsid w:val="00CD32B5"/>
    <w:rsid w:val="00CD3A22"/>
    <w:rsid w:val="00CD3E03"/>
    <w:rsid w:val="00CD4818"/>
    <w:rsid w:val="00CD4B70"/>
    <w:rsid w:val="00CD4E33"/>
    <w:rsid w:val="00CD5A52"/>
    <w:rsid w:val="00CD6361"/>
    <w:rsid w:val="00CD636F"/>
    <w:rsid w:val="00CE01E6"/>
    <w:rsid w:val="00CE1963"/>
    <w:rsid w:val="00CE29FB"/>
    <w:rsid w:val="00CE54C6"/>
    <w:rsid w:val="00CE5C62"/>
    <w:rsid w:val="00CE67DA"/>
    <w:rsid w:val="00CE730F"/>
    <w:rsid w:val="00CE7573"/>
    <w:rsid w:val="00CE7AAF"/>
    <w:rsid w:val="00CE7E82"/>
    <w:rsid w:val="00CF0397"/>
    <w:rsid w:val="00CF0EF0"/>
    <w:rsid w:val="00CF1550"/>
    <w:rsid w:val="00CF199E"/>
    <w:rsid w:val="00CF2134"/>
    <w:rsid w:val="00CF2C37"/>
    <w:rsid w:val="00CF30B2"/>
    <w:rsid w:val="00CF46E9"/>
    <w:rsid w:val="00CF4FFD"/>
    <w:rsid w:val="00CF5FD6"/>
    <w:rsid w:val="00CF72BF"/>
    <w:rsid w:val="00D00BB0"/>
    <w:rsid w:val="00D00E90"/>
    <w:rsid w:val="00D01FD0"/>
    <w:rsid w:val="00D0320C"/>
    <w:rsid w:val="00D04FFC"/>
    <w:rsid w:val="00D054BB"/>
    <w:rsid w:val="00D05585"/>
    <w:rsid w:val="00D05598"/>
    <w:rsid w:val="00D057E4"/>
    <w:rsid w:val="00D06B73"/>
    <w:rsid w:val="00D06FD6"/>
    <w:rsid w:val="00D0711E"/>
    <w:rsid w:val="00D07275"/>
    <w:rsid w:val="00D10170"/>
    <w:rsid w:val="00D108DE"/>
    <w:rsid w:val="00D10D21"/>
    <w:rsid w:val="00D1151C"/>
    <w:rsid w:val="00D1185A"/>
    <w:rsid w:val="00D13173"/>
    <w:rsid w:val="00D138A3"/>
    <w:rsid w:val="00D13BC1"/>
    <w:rsid w:val="00D143EB"/>
    <w:rsid w:val="00D14ADE"/>
    <w:rsid w:val="00D1554E"/>
    <w:rsid w:val="00D163CB"/>
    <w:rsid w:val="00D17E5B"/>
    <w:rsid w:val="00D20C42"/>
    <w:rsid w:val="00D213E6"/>
    <w:rsid w:val="00D24B7D"/>
    <w:rsid w:val="00D25605"/>
    <w:rsid w:val="00D26ED2"/>
    <w:rsid w:val="00D27287"/>
    <w:rsid w:val="00D278C1"/>
    <w:rsid w:val="00D27B57"/>
    <w:rsid w:val="00D321E3"/>
    <w:rsid w:val="00D323A7"/>
    <w:rsid w:val="00D32F4E"/>
    <w:rsid w:val="00D3347E"/>
    <w:rsid w:val="00D33521"/>
    <w:rsid w:val="00D34FD0"/>
    <w:rsid w:val="00D36251"/>
    <w:rsid w:val="00D37103"/>
    <w:rsid w:val="00D40758"/>
    <w:rsid w:val="00D4095B"/>
    <w:rsid w:val="00D40AAF"/>
    <w:rsid w:val="00D41166"/>
    <w:rsid w:val="00D42041"/>
    <w:rsid w:val="00D42C2E"/>
    <w:rsid w:val="00D43A63"/>
    <w:rsid w:val="00D44572"/>
    <w:rsid w:val="00D44867"/>
    <w:rsid w:val="00D44B85"/>
    <w:rsid w:val="00D45188"/>
    <w:rsid w:val="00D457EE"/>
    <w:rsid w:val="00D458B4"/>
    <w:rsid w:val="00D45D42"/>
    <w:rsid w:val="00D45E31"/>
    <w:rsid w:val="00D46249"/>
    <w:rsid w:val="00D46C1D"/>
    <w:rsid w:val="00D46D61"/>
    <w:rsid w:val="00D47249"/>
    <w:rsid w:val="00D50DDD"/>
    <w:rsid w:val="00D523D4"/>
    <w:rsid w:val="00D56B3B"/>
    <w:rsid w:val="00D57E60"/>
    <w:rsid w:val="00D609AD"/>
    <w:rsid w:val="00D6142B"/>
    <w:rsid w:val="00D614E7"/>
    <w:rsid w:val="00D6168E"/>
    <w:rsid w:val="00D619E1"/>
    <w:rsid w:val="00D63501"/>
    <w:rsid w:val="00D637EE"/>
    <w:rsid w:val="00D637FE"/>
    <w:rsid w:val="00D64C3B"/>
    <w:rsid w:val="00D651D9"/>
    <w:rsid w:val="00D65B2C"/>
    <w:rsid w:val="00D667C7"/>
    <w:rsid w:val="00D66AEB"/>
    <w:rsid w:val="00D67B35"/>
    <w:rsid w:val="00D70A33"/>
    <w:rsid w:val="00D71448"/>
    <w:rsid w:val="00D718D4"/>
    <w:rsid w:val="00D71D16"/>
    <w:rsid w:val="00D7355D"/>
    <w:rsid w:val="00D7423D"/>
    <w:rsid w:val="00D7458C"/>
    <w:rsid w:val="00D753A9"/>
    <w:rsid w:val="00D7550F"/>
    <w:rsid w:val="00D75744"/>
    <w:rsid w:val="00D75B2A"/>
    <w:rsid w:val="00D75F13"/>
    <w:rsid w:val="00D80212"/>
    <w:rsid w:val="00D80332"/>
    <w:rsid w:val="00D81567"/>
    <w:rsid w:val="00D82020"/>
    <w:rsid w:val="00D83721"/>
    <w:rsid w:val="00D8457C"/>
    <w:rsid w:val="00D848C1"/>
    <w:rsid w:val="00D850F5"/>
    <w:rsid w:val="00D853A5"/>
    <w:rsid w:val="00D857F6"/>
    <w:rsid w:val="00D85B4C"/>
    <w:rsid w:val="00D865A4"/>
    <w:rsid w:val="00D86AEF"/>
    <w:rsid w:val="00D87907"/>
    <w:rsid w:val="00D903C0"/>
    <w:rsid w:val="00D911C6"/>
    <w:rsid w:val="00D91518"/>
    <w:rsid w:val="00D916CD"/>
    <w:rsid w:val="00D9271F"/>
    <w:rsid w:val="00D92D15"/>
    <w:rsid w:val="00D94E09"/>
    <w:rsid w:val="00D971E6"/>
    <w:rsid w:val="00D974F5"/>
    <w:rsid w:val="00D97C1B"/>
    <w:rsid w:val="00DA0046"/>
    <w:rsid w:val="00DA068D"/>
    <w:rsid w:val="00DA2BCF"/>
    <w:rsid w:val="00DA3A6B"/>
    <w:rsid w:val="00DA44E5"/>
    <w:rsid w:val="00DA454D"/>
    <w:rsid w:val="00DA60CF"/>
    <w:rsid w:val="00DA690A"/>
    <w:rsid w:val="00DB0FDC"/>
    <w:rsid w:val="00DB21F7"/>
    <w:rsid w:val="00DB2F22"/>
    <w:rsid w:val="00DB3745"/>
    <w:rsid w:val="00DB50C6"/>
    <w:rsid w:val="00DB5A51"/>
    <w:rsid w:val="00DB6C3D"/>
    <w:rsid w:val="00DB71FE"/>
    <w:rsid w:val="00DB7868"/>
    <w:rsid w:val="00DB7B70"/>
    <w:rsid w:val="00DB7BB9"/>
    <w:rsid w:val="00DC00D0"/>
    <w:rsid w:val="00DC06B6"/>
    <w:rsid w:val="00DC18CE"/>
    <w:rsid w:val="00DC225C"/>
    <w:rsid w:val="00DC2F65"/>
    <w:rsid w:val="00DC2F72"/>
    <w:rsid w:val="00DC49EF"/>
    <w:rsid w:val="00DC4DE5"/>
    <w:rsid w:val="00DC6B48"/>
    <w:rsid w:val="00DC77EE"/>
    <w:rsid w:val="00DC7852"/>
    <w:rsid w:val="00DC7ADD"/>
    <w:rsid w:val="00DD001B"/>
    <w:rsid w:val="00DD09E5"/>
    <w:rsid w:val="00DD0A5D"/>
    <w:rsid w:val="00DD0AF0"/>
    <w:rsid w:val="00DD131E"/>
    <w:rsid w:val="00DD17FC"/>
    <w:rsid w:val="00DD1EC1"/>
    <w:rsid w:val="00DD212C"/>
    <w:rsid w:val="00DD282B"/>
    <w:rsid w:val="00DD2FC9"/>
    <w:rsid w:val="00DD3744"/>
    <w:rsid w:val="00DD574A"/>
    <w:rsid w:val="00DD5CA9"/>
    <w:rsid w:val="00DD6E7C"/>
    <w:rsid w:val="00DD7037"/>
    <w:rsid w:val="00DD7C8C"/>
    <w:rsid w:val="00DE251B"/>
    <w:rsid w:val="00DE3532"/>
    <w:rsid w:val="00DE356A"/>
    <w:rsid w:val="00DE42BE"/>
    <w:rsid w:val="00DE57F8"/>
    <w:rsid w:val="00DE62A1"/>
    <w:rsid w:val="00DE6BE4"/>
    <w:rsid w:val="00DE6E5F"/>
    <w:rsid w:val="00DE7B2B"/>
    <w:rsid w:val="00DE7C51"/>
    <w:rsid w:val="00DE7F10"/>
    <w:rsid w:val="00DF0041"/>
    <w:rsid w:val="00DF0282"/>
    <w:rsid w:val="00DF0544"/>
    <w:rsid w:val="00DF1388"/>
    <w:rsid w:val="00DF18E8"/>
    <w:rsid w:val="00DF1CB0"/>
    <w:rsid w:val="00DF1FDE"/>
    <w:rsid w:val="00DF2DE8"/>
    <w:rsid w:val="00DF2FBA"/>
    <w:rsid w:val="00DF3D7F"/>
    <w:rsid w:val="00DF49D8"/>
    <w:rsid w:val="00DF4B7C"/>
    <w:rsid w:val="00DF4E2D"/>
    <w:rsid w:val="00DF5446"/>
    <w:rsid w:val="00DF72F9"/>
    <w:rsid w:val="00DF7522"/>
    <w:rsid w:val="00E0187C"/>
    <w:rsid w:val="00E0245B"/>
    <w:rsid w:val="00E02567"/>
    <w:rsid w:val="00E02D7C"/>
    <w:rsid w:val="00E03445"/>
    <w:rsid w:val="00E0563E"/>
    <w:rsid w:val="00E06368"/>
    <w:rsid w:val="00E067B3"/>
    <w:rsid w:val="00E079F5"/>
    <w:rsid w:val="00E109DA"/>
    <w:rsid w:val="00E10D16"/>
    <w:rsid w:val="00E110E7"/>
    <w:rsid w:val="00E11489"/>
    <w:rsid w:val="00E11544"/>
    <w:rsid w:val="00E12154"/>
    <w:rsid w:val="00E128A5"/>
    <w:rsid w:val="00E13EE4"/>
    <w:rsid w:val="00E143D6"/>
    <w:rsid w:val="00E1551D"/>
    <w:rsid w:val="00E164CF"/>
    <w:rsid w:val="00E16A63"/>
    <w:rsid w:val="00E16AA7"/>
    <w:rsid w:val="00E17105"/>
    <w:rsid w:val="00E17F35"/>
    <w:rsid w:val="00E205EB"/>
    <w:rsid w:val="00E20F54"/>
    <w:rsid w:val="00E2167F"/>
    <w:rsid w:val="00E219AE"/>
    <w:rsid w:val="00E225CD"/>
    <w:rsid w:val="00E231C7"/>
    <w:rsid w:val="00E23772"/>
    <w:rsid w:val="00E23E71"/>
    <w:rsid w:val="00E24771"/>
    <w:rsid w:val="00E26766"/>
    <w:rsid w:val="00E278A6"/>
    <w:rsid w:val="00E30A80"/>
    <w:rsid w:val="00E3100F"/>
    <w:rsid w:val="00E3229C"/>
    <w:rsid w:val="00E3288A"/>
    <w:rsid w:val="00E332CF"/>
    <w:rsid w:val="00E34AA1"/>
    <w:rsid w:val="00E353CB"/>
    <w:rsid w:val="00E363B2"/>
    <w:rsid w:val="00E376BE"/>
    <w:rsid w:val="00E37E0B"/>
    <w:rsid w:val="00E37FFA"/>
    <w:rsid w:val="00E406AC"/>
    <w:rsid w:val="00E40B5E"/>
    <w:rsid w:val="00E413B9"/>
    <w:rsid w:val="00E41E81"/>
    <w:rsid w:val="00E421FF"/>
    <w:rsid w:val="00E42DD7"/>
    <w:rsid w:val="00E465F9"/>
    <w:rsid w:val="00E46C1E"/>
    <w:rsid w:val="00E47AC7"/>
    <w:rsid w:val="00E47ACC"/>
    <w:rsid w:val="00E50A26"/>
    <w:rsid w:val="00E513F2"/>
    <w:rsid w:val="00E519C0"/>
    <w:rsid w:val="00E52312"/>
    <w:rsid w:val="00E526EE"/>
    <w:rsid w:val="00E52706"/>
    <w:rsid w:val="00E53640"/>
    <w:rsid w:val="00E549BD"/>
    <w:rsid w:val="00E54B90"/>
    <w:rsid w:val="00E56101"/>
    <w:rsid w:val="00E57080"/>
    <w:rsid w:val="00E601A3"/>
    <w:rsid w:val="00E60491"/>
    <w:rsid w:val="00E62851"/>
    <w:rsid w:val="00E62B2E"/>
    <w:rsid w:val="00E63E63"/>
    <w:rsid w:val="00E6572D"/>
    <w:rsid w:val="00E70480"/>
    <w:rsid w:val="00E70915"/>
    <w:rsid w:val="00E71012"/>
    <w:rsid w:val="00E720F4"/>
    <w:rsid w:val="00E730AC"/>
    <w:rsid w:val="00E75F3F"/>
    <w:rsid w:val="00E7649D"/>
    <w:rsid w:val="00E76829"/>
    <w:rsid w:val="00E7739C"/>
    <w:rsid w:val="00E80181"/>
    <w:rsid w:val="00E8124A"/>
    <w:rsid w:val="00E814C8"/>
    <w:rsid w:val="00E81ED2"/>
    <w:rsid w:val="00E823B6"/>
    <w:rsid w:val="00E82865"/>
    <w:rsid w:val="00E82B7E"/>
    <w:rsid w:val="00E84713"/>
    <w:rsid w:val="00E84874"/>
    <w:rsid w:val="00E856B4"/>
    <w:rsid w:val="00E8611A"/>
    <w:rsid w:val="00E8637E"/>
    <w:rsid w:val="00E867FC"/>
    <w:rsid w:val="00E868B0"/>
    <w:rsid w:val="00E86B71"/>
    <w:rsid w:val="00E878E5"/>
    <w:rsid w:val="00E9170C"/>
    <w:rsid w:val="00E91DFA"/>
    <w:rsid w:val="00E923D5"/>
    <w:rsid w:val="00E93A54"/>
    <w:rsid w:val="00E94C67"/>
    <w:rsid w:val="00E96462"/>
    <w:rsid w:val="00E974B3"/>
    <w:rsid w:val="00E97547"/>
    <w:rsid w:val="00E97CEB"/>
    <w:rsid w:val="00EA042C"/>
    <w:rsid w:val="00EA0916"/>
    <w:rsid w:val="00EA0EBD"/>
    <w:rsid w:val="00EA2654"/>
    <w:rsid w:val="00EA2EFE"/>
    <w:rsid w:val="00EA3AD3"/>
    <w:rsid w:val="00EA41F8"/>
    <w:rsid w:val="00EA4BE0"/>
    <w:rsid w:val="00EA5653"/>
    <w:rsid w:val="00EA5D08"/>
    <w:rsid w:val="00EA6778"/>
    <w:rsid w:val="00EA7636"/>
    <w:rsid w:val="00EA78C7"/>
    <w:rsid w:val="00EB01CE"/>
    <w:rsid w:val="00EB0AFD"/>
    <w:rsid w:val="00EB117F"/>
    <w:rsid w:val="00EB1207"/>
    <w:rsid w:val="00EB27FA"/>
    <w:rsid w:val="00EB2A64"/>
    <w:rsid w:val="00EB4613"/>
    <w:rsid w:val="00EB5500"/>
    <w:rsid w:val="00EB58B1"/>
    <w:rsid w:val="00EB6181"/>
    <w:rsid w:val="00EB6E3B"/>
    <w:rsid w:val="00EB6EF9"/>
    <w:rsid w:val="00EB7AC9"/>
    <w:rsid w:val="00EB7E60"/>
    <w:rsid w:val="00EC03A0"/>
    <w:rsid w:val="00EC0BAE"/>
    <w:rsid w:val="00EC1A78"/>
    <w:rsid w:val="00EC2962"/>
    <w:rsid w:val="00EC29BF"/>
    <w:rsid w:val="00EC2D97"/>
    <w:rsid w:val="00EC4F31"/>
    <w:rsid w:val="00EC6991"/>
    <w:rsid w:val="00EC76A0"/>
    <w:rsid w:val="00EC79D6"/>
    <w:rsid w:val="00EC7CA6"/>
    <w:rsid w:val="00ED1A7B"/>
    <w:rsid w:val="00ED1D2B"/>
    <w:rsid w:val="00ED31FC"/>
    <w:rsid w:val="00ED4535"/>
    <w:rsid w:val="00ED4799"/>
    <w:rsid w:val="00ED48DC"/>
    <w:rsid w:val="00ED556B"/>
    <w:rsid w:val="00EE0130"/>
    <w:rsid w:val="00EE243F"/>
    <w:rsid w:val="00EE2F2D"/>
    <w:rsid w:val="00EE3657"/>
    <w:rsid w:val="00EE3A9F"/>
    <w:rsid w:val="00EE480A"/>
    <w:rsid w:val="00EE5990"/>
    <w:rsid w:val="00EE6126"/>
    <w:rsid w:val="00EE7846"/>
    <w:rsid w:val="00EF01F2"/>
    <w:rsid w:val="00EF23FD"/>
    <w:rsid w:val="00EF2E80"/>
    <w:rsid w:val="00EF344F"/>
    <w:rsid w:val="00EF38F0"/>
    <w:rsid w:val="00EF3976"/>
    <w:rsid w:val="00EF5263"/>
    <w:rsid w:val="00EF5F78"/>
    <w:rsid w:val="00EF6E61"/>
    <w:rsid w:val="00EF6EBE"/>
    <w:rsid w:val="00EF6FC1"/>
    <w:rsid w:val="00EF7314"/>
    <w:rsid w:val="00F007A9"/>
    <w:rsid w:val="00F00866"/>
    <w:rsid w:val="00F019B8"/>
    <w:rsid w:val="00F0330A"/>
    <w:rsid w:val="00F03CD5"/>
    <w:rsid w:val="00F051FC"/>
    <w:rsid w:val="00F05F07"/>
    <w:rsid w:val="00F06955"/>
    <w:rsid w:val="00F06FB2"/>
    <w:rsid w:val="00F07D94"/>
    <w:rsid w:val="00F106C4"/>
    <w:rsid w:val="00F118F3"/>
    <w:rsid w:val="00F11B23"/>
    <w:rsid w:val="00F122A6"/>
    <w:rsid w:val="00F1258F"/>
    <w:rsid w:val="00F12694"/>
    <w:rsid w:val="00F12DDF"/>
    <w:rsid w:val="00F136D5"/>
    <w:rsid w:val="00F1764E"/>
    <w:rsid w:val="00F20270"/>
    <w:rsid w:val="00F2141F"/>
    <w:rsid w:val="00F21F3F"/>
    <w:rsid w:val="00F2343F"/>
    <w:rsid w:val="00F23B3E"/>
    <w:rsid w:val="00F23BBB"/>
    <w:rsid w:val="00F2507A"/>
    <w:rsid w:val="00F25F39"/>
    <w:rsid w:val="00F27500"/>
    <w:rsid w:val="00F27CB9"/>
    <w:rsid w:val="00F303F2"/>
    <w:rsid w:val="00F305A1"/>
    <w:rsid w:val="00F31EC3"/>
    <w:rsid w:val="00F32CFA"/>
    <w:rsid w:val="00F32D1C"/>
    <w:rsid w:val="00F3301A"/>
    <w:rsid w:val="00F335DB"/>
    <w:rsid w:val="00F34AB4"/>
    <w:rsid w:val="00F400CA"/>
    <w:rsid w:val="00F405FB"/>
    <w:rsid w:val="00F40B94"/>
    <w:rsid w:val="00F40C0D"/>
    <w:rsid w:val="00F41207"/>
    <w:rsid w:val="00F41845"/>
    <w:rsid w:val="00F41CA1"/>
    <w:rsid w:val="00F4207E"/>
    <w:rsid w:val="00F4351F"/>
    <w:rsid w:val="00F44A78"/>
    <w:rsid w:val="00F469D9"/>
    <w:rsid w:val="00F46D12"/>
    <w:rsid w:val="00F50B93"/>
    <w:rsid w:val="00F50F4F"/>
    <w:rsid w:val="00F53D75"/>
    <w:rsid w:val="00F53EB2"/>
    <w:rsid w:val="00F53F47"/>
    <w:rsid w:val="00F54895"/>
    <w:rsid w:val="00F5667E"/>
    <w:rsid w:val="00F5686C"/>
    <w:rsid w:val="00F568A3"/>
    <w:rsid w:val="00F57ECC"/>
    <w:rsid w:val="00F6064A"/>
    <w:rsid w:val="00F60E00"/>
    <w:rsid w:val="00F60E80"/>
    <w:rsid w:val="00F61569"/>
    <w:rsid w:val="00F628A9"/>
    <w:rsid w:val="00F62C65"/>
    <w:rsid w:val="00F62F4D"/>
    <w:rsid w:val="00F62FE7"/>
    <w:rsid w:val="00F635B6"/>
    <w:rsid w:val="00F642C9"/>
    <w:rsid w:val="00F6496A"/>
    <w:rsid w:val="00F65A48"/>
    <w:rsid w:val="00F65FAB"/>
    <w:rsid w:val="00F66736"/>
    <w:rsid w:val="00F70F7A"/>
    <w:rsid w:val="00F7227B"/>
    <w:rsid w:val="00F72319"/>
    <w:rsid w:val="00F73957"/>
    <w:rsid w:val="00F765CF"/>
    <w:rsid w:val="00F80ADF"/>
    <w:rsid w:val="00F82580"/>
    <w:rsid w:val="00F82E78"/>
    <w:rsid w:val="00F8565A"/>
    <w:rsid w:val="00F857A1"/>
    <w:rsid w:val="00F85FDE"/>
    <w:rsid w:val="00F86665"/>
    <w:rsid w:val="00F870B3"/>
    <w:rsid w:val="00F8713B"/>
    <w:rsid w:val="00F904A4"/>
    <w:rsid w:val="00F913B6"/>
    <w:rsid w:val="00F92680"/>
    <w:rsid w:val="00F92951"/>
    <w:rsid w:val="00F929CA"/>
    <w:rsid w:val="00F933B3"/>
    <w:rsid w:val="00F93D90"/>
    <w:rsid w:val="00F94853"/>
    <w:rsid w:val="00F95531"/>
    <w:rsid w:val="00F9553C"/>
    <w:rsid w:val="00F95937"/>
    <w:rsid w:val="00F9624A"/>
    <w:rsid w:val="00F96430"/>
    <w:rsid w:val="00F973D8"/>
    <w:rsid w:val="00F9743A"/>
    <w:rsid w:val="00F97FB6"/>
    <w:rsid w:val="00FA1471"/>
    <w:rsid w:val="00FA3A70"/>
    <w:rsid w:val="00FA45A9"/>
    <w:rsid w:val="00FA4757"/>
    <w:rsid w:val="00FA4993"/>
    <w:rsid w:val="00FA4FC9"/>
    <w:rsid w:val="00FA5975"/>
    <w:rsid w:val="00FA5990"/>
    <w:rsid w:val="00FA59E2"/>
    <w:rsid w:val="00FA6165"/>
    <w:rsid w:val="00FA630B"/>
    <w:rsid w:val="00FA6965"/>
    <w:rsid w:val="00FA6F0B"/>
    <w:rsid w:val="00FA7207"/>
    <w:rsid w:val="00FA7EFA"/>
    <w:rsid w:val="00FB0E1F"/>
    <w:rsid w:val="00FB0E34"/>
    <w:rsid w:val="00FB1166"/>
    <w:rsid w:val="00FB1811"/>
    <w:rsid w:val="00FB1CD3"/>
    <w:rsid w:val="00FB21AE"/>
    <w:rsid w:val="00FB230D"/>
    <w:rsid w:val="00FB3546"/>
    <w:rsid w:val="00FB6DEC"/>
    <w:rsid w:val="00FB6E91"/>
    <w:rsid w:val="00FB7557"/>
    <w:rsid w:val="00FC002D"/>
    <w:rsid w:val="00FC14DB"/>
    <w:rsid w:val="00FC16CC"/>
    <w:rsid w:val="00FC2169"/>
    <w:rsid w:val="00FC3867"/>
    <w:rsid w:val="00FC4FCA"/>
    <w:rsid w:val="00FC50F1"/>
    <w:rsid w:val="00FC52A7"/>
    <w:rsid w:val="00FC67E1"/>
    <w:rsid w:val="00FC75F4"/>
    <w:rsid w:val="00FD0686"/>
    <w:rsid w:val="00FD149E"/>
    <w:rsid w:val="00FD1777"/>
    <w:rsid w:val="00FD188B"/>
    <w:rsid w:val="00FD20FF"/>
    <w:rsid w:val="00FD395C"/>
    <w:rsid w:val="00FD40EB"/>
    <w:rsid w:val="00FD4DF4"/>
    <w:rsid w:val="00FD682F"/>
    <w:rsid w:val="00FD7B23"/>
    <w:rsid w:val="00FE04B8"/>
    <w:rsid w:val="00FE0F4B"/>
    <w:rsid w:val="00FE2D3D"/>
    <w:rsid w:val="00FE331F"/>
    <w:rsid w:val="00FE34CB"/>
    <w:rsid w:val="00FE3B7E"/>
    <w:rsid w:val="00FE3D0C"/>
    <w:rsid w:val="00FE4068"/>
    <w:rsid w:val="00FE4E35"/>
    <w:rsid w:val="00FE51CD"/>
    <w:rsid w:val="00FE53A0"/>
    <w:rsid w:val="00FE60BF"/>
    <w:rsid w:val="00FE66BD"/>
    <w:rsid w:val="00FE6EA8"/>
    <w:rsid w:val="00FF010E"/>
    <w:rsid w:val="00FF0294"/>
    <w:rsid w:val="00FF0E7C"/>
    <w:rsid w:val="00FF1E3E"/>
    <w:rsid w:val="00FF2A15"/>
    <w:rsid w:val="00FF33AF"/>
    <w:rsid w:val="00FF374E"/>
    <w:rsid w:val="00FF3BB8"/>
    <w:rsid w:val="00FF41B1"/>
    <w:rsid w:val="00FF4B55"/>
    <w:rsid w:val="00FF4F47"/>
    <w:rsid w:val="00FF5249"/>
    <w:rsid w:val="00FF76B3"/>
    <w:rsid w:val="00FF772C"/>
    <w:rsid w:val="00FF7850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D63"/>
    <w:pPr>
      <w:spacing w:line="240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character" w:styleId="a5">
    <w:name w:val="Hyperlink"/>
    <w:basedOn w:val="a0"/>
    <w:uiPriority w:val="99"/>
    <w:unhideWhenUsed/>
    <w:rsid w:val="00335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6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D63"/>
    <w:pPr>
      <w:spacing w:line="240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character" w:styleId="a5">
    <w:name w:val="Hyperlink"/>
    <w:basedOn w:val="a0"/>
    <w:uiPriority w:val="99"/>
    <w:unhideWhenUsed/>
    <w:rsid w:val="00335C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6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4CA7860F052076D93825F52519A0D9BE705FDDD40300381E70FD05AE72CD51E4BE39507A96290yAu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C4CA7860F052076D93825F52519A0D9BE705FDDD40300381E70FD05AE72CD51E4BE39507A96296yAu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34436ADEA9079F5E0869E692050F13829ADB94422B2418571B13E4F60F1707A958C46D5F016209AA4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B8E7-25E6-4951-9353-100793AC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6803</TotalTime>
  <Pages>26</Pages>
  <Words>9374</Words>
  <Characters>53435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Sovet-win7</cp:lastModifiedBy>
  <cp:revision>89</cp:revision>
  <cp:lastPrinted>2021-04-23T05:42:00Z</cp:lastPrinted>
  <dcterms:created xsi:type="dcterms:W3CDTF">2019-04-15T11:43:00Z</dcterms:created>
  <dcterms:modified xsi:type="dcterms:W3CDTF">2021-04-26T06:06:00Z</dcterms:modified>
</cp:coreProperties>
</file>