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Ипатовского </w:t>
      </w:r>
      <w:r w:rsidR="001B1344">
        <w:rPr>
          <w:rFonts w:ascii="Times New Roman" w:eastAsia="Calibri" w:hAnsi="Times New Roman"/>
          <w:b/>
          <w:sz w:val="28"/>
          <w:szCs w:val="28"/>
        </w:rPr>
        <w:t>городского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EB2E4B">
        <w:rPr>
          <w:rFonts w:ascii="Times New Roman" w:eastAsia="Calibri" w:hAnsi="Times New Roman"/>
          <w:b/>
          <w:sz w:val="28"/>
          <w:szCs w:val="28"/>
        </w:rPr>
        <w:t xml:space="preserve">1 </w:t>
      </w:r>
      <w:r w:rsidR="00D5510B">
        <w:rPr>
          <w:rFonts w:ascii="Times New Roman" w:eastAsia="Calibri" w:hAnsi="Times New Roman"/>
          <w:b/>
          <w:sz w:val="28"/>
          <w:szCs w:val="28"/>
        </w:rPr>
        <w:t>полугодие</w:t>
      </w:r>
      <w:r w:rsidR="000C771D">
        <w:rPr>
          <w:rFonts w:ascii="Times New Roman" w:eastAsia="Calibri" w:hAnsi="Times New Roman"/>
          <w:b/>
          <w:sz w:val="28"/>
          <w:szCs w:val="28"/>
        </w:rPr>
        <w:t xml:space="preserve">  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EB2E4B">
        <w:rPr>
          <w:rFonts w:ascii="Times New Roman" w:eastAsia="Calibri" w:hAnsi="Times New Roman"/>
          <w:b/>
          <w:sz w:val="28"/>
          <w:szCs w:val="28"/>
        </w:rPr>
        <w:t>2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655C2" w:rsidRPr="00475DEA" w:rsidRDefault="0039379D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74323D">
        <w:rPr>
          <w:rFonts w:ascii="Times New Roman" w:eastAsia="Calibri" w:hAnsi="Times New Roman"/>
          <w:sz w:val="28"/>
          <w:szCs w:val="28"/>
        </w:rPr>
        <w:t>3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08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 w:rsidR="00EB2E4B">
        <w:rPr>
          <w:rFonts w:ascii="Times New Roman" w:eastAsia="Calibri" w:hAnsi="Times New Roman"/>
          <w:sz w:val="28"/>
          <w:szCs w:val="28"/>
        </w:rPr>
        <w:t>2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Ипатовского городского 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Контрольно-счетная комиссия ИГО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EB2E4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5510B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утвержденного решением Думы Ипатовского городского округа Ставропольского края от 2</w:t>
      </w:r>
      <w:r w:rsidR="002E35E5">
        <w:rPr>
          <w:rFonts w:ascii="Times New Roman" w:hAnsi="Times New Roman"/>
          <w:sz w:val="28"/>
          <w:szCs w:val="28"/>
          <w:lang w:eastAsia="ru-RU"/>
        </w:rPr>
        <w:t>8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>.09.20</w:t>
      </w:r>
      <w:r w:rsidR="002E35E5">
        <w:rPr>
          <w:rFonts w:ascii="Times New Roman" w:hAnsi="Times New Roman"/>
          <w:sz w:val="28"/>
          <w:szCs w:val="28"/>
          <w:lang w:eastAsia="ru-RU"/>
        </w:rPr>
        <w:t>21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E35E5">
        <w:rPr>
          <w:rFonts w:ascii="Times New Roman" w:hAnsi="Times New Roman"/>
          <w:sz w:val="28"/>
          <w:szCs w:val="28"/>
          <w:lang w:eastAsia="ru-RU"/>
        </w:rPr>
        <w:t>125</w:t>
      </w:r>
      <w:r w:rsidRPr="00477F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743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5510B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Ипатовского городского округа Ставропольского края от </w:t>
      </w:r>
      <w:r w:rsidR="002E1119">
        <w:rPr>
          <w:rFonts w:ascii="Times New Roman" w:hAnsi="Times New Roman"/>
          <w:sz w:val="28"/>
          <w:szCs w:val="28"/>
          <w:lang w:eastAsia="ru-RU"/>
        </w:rPr>
        <w:t>2</w:t>
      </w:r>
      <w:r w:rsidR="00D5510B">
        <w:rPr>
          <w:rFonts w:ascii="Times New Roman" w:hAnsi="Times New Roman"/>
          <w:sz w:val="28"/>
          <w:szCs w:val="28"/>
          <w:lang w:eastAsia="ru-RU"/>
        </w:rPr>
        <w:t>1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A67438">
        <w:rPr>
          <w:rFonts w:ascii="Times New Roman" w:hAnsi="Times New Roman"/>
          <w:sz w:val="28"/>
          <w:szCs w:val="28"/>
          <w:lang w:eastAsia="ru-RU"/>
        </w:rPr>
        <w:t>0</w:t>
      </w:r>
      <w:r w:rsidR="00D5510B">
        <w:rPr>
          <w:rFonts w:ascii="Times New Roman" w:hAnsi="Times New Roman"/>
          <w:sz w:val="28"/>
          <w:szCs w:val="28"/>
          <w:lang w:eastAsia="ru-RU"/>
        </w:rPr>
        <w:t>7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A67438">
        <w:rPr>
          <w:rFonts w:ascii="Times New Roman" w:hAnsi="Times New Roman"/>
          <w:sz w:val="28"/>
          <w:szCs w:val="28"/>
          <w:lang w:eastAsia="ru-RU"/>
        </w:rPr>
        <w:t>2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5510B">
        <w:rPr>
          <w:rFonts w:ascii="Times New Roman" w:hAnsi="Times New Roman"/>
          <w:sz w:val="28"/>
          <w:szCs w:val="28"/>
          <w:lang w:eastAsia="ru-RU"/>
        </w:rPr>
        <w:t>258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BF9">
        <w:rPr>
          <w:rFonts w:ascii="Times New Roman" w:hAnsi="Times New Roman"/>
          <w:sz w:val="28"/>
          <w:szCs w:val="28"/>
          <w:lang w:eastAsia="ru-RU"/>
        </w:rPr>
        <w:t>ИГО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</w:t>
      </w:r>
      <w:r w:rsidR="008A3BEC">
        <w:rPr>
          <w:rFonts w:ascii="Times New Roman" w:hAnsi="Times New Roman"/>
          <w:sz w:val="28"/>
          <w:szCs w:val="28"/>
          <w:lang w:eastAsia="ru-RU"/>
        </w:rPr>
        <w:t>2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34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 городском округе</w:t>
      </w:r>
      <w:r w:rsid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>20.09.2017 года</w:t>
      </w:r>
      <w:proofErr w:type="gramEnd"/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№ 19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>Думы Ипатовского городского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ИГО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976361">
        <w:rPr>
          <w:rFonts w:ascii="Times New Roman" w:hAnsi="Times New Roman"/>
          <w:sz w:val="28"/>
          <w:szCs w:val="28"/>
          <w:lang w:eastAsia="ru-RU"/>
        </w:rPr>
        <w:t>4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976361">
        <w:rPr>
          <w:rFonts w:ascii="Times New Roman" w:hAnsi="Times New Roman"/>
          <w:sz w:val="28"/>
          <w:szCs w:val="28"/>
          <w:lang w:eastAsia="ru-RU"/>
        </w:rPr>
        <w:t>1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F3209">
        <w:rPr>
          <w:rFonts w:ascii="Times New Roman" w:hAnsi="Times New Roman"/>
          <w:sz w:val="28"/>
          <w:szCs w:val="28"/>
          <w:lang w:eastAsia="ru-RU"/>
        </w:rPr>
        <w:t>1</w:t>
      </w:r>
      <w:r w:rsidR="00976361">
        <w:rPr>
          <w:rFonts w:ascii="Times New Roman" w:hAnsi="Times New Roman"/>
          <w:sz w:val="28"/>
          <w:szCs w:val="28"/>
          <w:lang w:eastAsia="ru-RU"/>
        </w:rPr>
        <w:t>82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Ипатовского городского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976361">
        <w:rPr>
          <w:rFonts w:ascii="Times New Roman" w:hAnsi="Times New Roman"/>
          <w:sz w:val="28"/>
          <w:szCs w:val="28"/>
          <w:lang w:eastAsia="ru-RU"/>
        </w:rPr>
        <w:t>2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976361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976361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(в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январ</w:t>
      </w:r>
      <w:r w:rsidR="00A26502" w:rsidRPr="006818A3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AD2757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F57260" w:rsidRPr="006818A3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6F5F9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>, от 2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2F74EB">
        <w:rPr>
          <w:rFonts w:ascii="Times New Roman" w:hAnsi="Times New Roman"/>
          <w:bCs/>
          <w:sz w:val="28"/>
          <w:szCs w:val="28"/>
          <w:lang w:eastAsia="ru-RU"/>
        </w:rPr>
        <w:t xml:space="preserve"> г. № </w:t>
      </w:r>
      <w:r w:rsidR="00FC654C">
        <w:rPr>
          <w:rFonts w:ascii="Times New Roman" w:hAnsi="Times New Roman"/>
          <w:bCs/>
          <w:sz w:val="28"/>
          <w:szCs w:val="28"/>
          <w:lang w:eastAsia="ru-RU"/>
        </w:rPr>
        <w:t>26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D6DE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71375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1963962,74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2193585,53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220BDD" w:rsidRPr="00220BDD">
        <w:rPr>
          <w:rFonts w:ascii="Times New Roman" w:hAnsi="Times New Roman"/>
          <w:bCs/>
          <w:sz w:val="28"/>
          <w:szCs w:val="28"/>
          <w:lang w:eastAsia="ru-RU"/>
        </w:rPr>
        <w:t>229622,79</w:t>
      </w:r>
      <w:r w:rsidR="004A4279" w:rsidRPr="004A42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220BDD">
        <w:rPr>
          <w:rFonts w:ascii="Times New Roman" w:hAnsi="Times New Roman"/>
          <w:sz w:val="28"/>
          <w:szCs w:val="28"/>
        </w:rPr>
        <w:t>1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D5510B">
        <w:rPr>
          <w:rFonts w:ascii="Times New Roman" w:hAnsi="Times New Roman"/>
          <w:sz w:val="28"/>
          <w:szCs w:val="28"/>
        </w:rPr>
        <w:t>полугодие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 xml:space="preserve"> 20</w:t>
      </w:r>
      <w:r w:rsidR="00F51165">
        <w:rPr>
          <w:rFonts w:ascii="Times New Roman" w:hAnsi="Times New Roman"/>
          <w:sz w:val="28"/>
          <w:szCs w:val="28"/>
        </w:rPr>
        <w:t>2</w:t>
      </w:r>
      <w:r w:rsidR="00220BDD">
        <w:rPr>
          <w:rFonts w:ascii="Times New Roman" w:hAnsi="Times New Roman"/>
          <w:sz w:val="28"/>
          <w:szCs w:val="28"/>
        </w:rPr>
        <w:t>2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Ипатовского городского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D5510B">
        <w:rPr>
          <w:rFonts w:ascii="Times New Roman" w:hAnsi="Times New Roman"/>
          <w:sz w:val="28"/>
          <w:szCs w:val="28"/>
        </w:rPr>
        <w:t>958400,90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D5510B">
        <w:rPr>
          <w:rFonts w:ascii="Times New Roman" w:hAnsi="Times New Roman"/>
          <w:sz w:val="28"/>
          <w:szCs w:val="28"/>
        </w:rPr>
        <w:t>1045728,41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4D3602" w:rsidRPr="004D3602">
        <w:rPr>
          <w:rFonts w:ascii="Times New Roman" w:hAnsi="Times New Roman"/>
          <w:sz w:val="28"/>
          <w:szCs w:val="28"/>
        </w:rPr>
        <w:t>расход</w:t>
      </w:r>
      <w:r w:rsidR="004D3602">
        <w:rPr>
          <w:rFonts w:ascii="Times New Roman" w:hAnsi="Times New Roman"/>
          <w:sz w:val="28"/>
          <w:szCs w:val="28"/>
        </w:rPr>
        <w:t>ов</w:t>
      </w:r>
      <w:r w:rsidR="004D3602" w:rsidRPr="004D3602">
        <w:t xml:space="preserve"> </w:t>
      </w:r>
      <w:r w:rsidR="004D3602" w:rsidRPr="004D3602">
        <w:rPr>
          <w:rFonts w:ascii="Times New Roman" w:hAnsi="Times New Roman"/>
          <w:sz w:val="28"/>
          <w:szCs w:val="28"/>
        </w:rPr>
        <w:t xml:space="preserve">над </w:t>
      </w:r>
      <w:r w:rsidR="004F3D41">
        <w:rPr>
          <w:rFonts w:ascii="Times New Roman" w:hAnsi="Times New Roman"/>
          <w:sz w:val="28"/>
          <w:szCs w:val="28"/>
        </w:rPr>
        <w:t>доход</w:t>
      </w:r>
      <w:r w:rsidR="004D3602">
        <w:rPr>
          <w:rFonts w:ascii="Times New Roman" w:hAnsi="Times New Roman"/>
          <w:sz w:val="28"/>
          <w:szCs w:val="28"/>
        </w:rPr>
        <w:t>ами</w:t>
      </w:r>
      <w:r w:rsidR="004F3D41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4D3602">
        <w:rPr>
          <w:rFonts w:ascii="Times New Roman" w:hAnsi="Times New Roman"/>
          <w:sz w:val="28"/>
          <w:szCs w:val="28"/>
        </w:rPr>
        <w:t>87327,51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4D3602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B752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9E4CD1">
        <w:rPr>
          <w:rFonts w:ascii="Times New Roman" w:hAnsi="Times New Roman"/>
          <w:sz w:val="28"/>
          <w:szCs w:val="28"/>
          <w:lang w:eastAsia="ru-RU"/>
        </w:rPr>
        <w:t>45,9</w:t>
      </w:r>
      <w:r w:rsidR="00583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E4CD1">
        <w:rPr>
          <w:rFonts w:ascii="Times New Roman" w:hAnsi="Times New Roman"/>
          <w:sz w:val="28"/>
          <w:szCs w:val="28"/>
          <w:lang w:eastAsia="ru-RU"/>
        </w:rPr>
        <w:t>201438,96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E4CD1">
        <w:rPr>
          <w:rFonts w:ascii="Times New Roman" w:hAnsi="Times New Roman"/>
          <w:bCs/>
          <w:sz w:val="28"/>
          <w:szCs w:val="28"/>
          <w:lang w:eastAsia="ru-RU"/>
        </w:rPr>
        <w:t>756961,94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6E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E4CD1">
        <w:rPr>
          <w:rFonts w:ascii="Times New Roman" w:hAnsi="Times New Roman"/>
          <w:bCs/>
          <w:sz w:val="28"/>
          <w:szCs w:val="28"/>
          <w:lang w:eastAsia="ru-RU"/>
        </w:rPr>
        <w:t>49,6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9E4CD1">
        <w:rPr>
          <w:rFonts w:ascii="Times New Roman" w:hAnsi="Times New Roman"/>
          <w:sz w:val="28"/>
          <w:szCs w:val="28"/>
          <w:lang w:eastAsia="ru-RU"/>
        </w:rPr>
        <w:t>увелич</w:t>
      </w:r>
      <w:r w:rsidR="00151489">
        <w:rPr>
          <w:rFonts w:ascii="Times New Roman" w:hAnsi="Times New Roman"/>
          <w:sz w:val="28"/>
          <w:szCs w:val="28"/>
          <w:lang w:eastAsia="ru-RU"/>
        </w:rPr>
        <w:t>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E4CD1">
        <w:rPr>
          <w:rFonts w:ascii="Times New Roman" w:hAnsi="Times New Roman"/>
          <w:sz w:val="28"/>
          <w:szCs w:val="28"/>
          <w:lang w:eastAsia="ru-RU"/>
        </w:rPr>
        <w:t>17671,30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D1">
        <w:rPr>
          <w:rFonts w:ascii="Times New Roman" w:hAnsi="Times New Roman"/>
          <w:sz w:val="28"/>
          <w:szCs w:val="28"/>
          <w:lang w:eastAsia="ru-RU"/>
        </w:rPr>
        <w:t>9,6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E05A2D">
        <w:rPr>
          <w:rFonts w:ascii="Times New Roman" w:hAnsi="Times New Roman"/>
          <w:bCs/>
          <w:sz w:val="28"/>
          <w:szCs w:val="28"/>
          <w:lang w:eastAsia="ru-RU"/>
        </w:rPr>
        <w:t>сниз</w:t>
      </w:r>
      <w:r w:rsidR="00DE3C36">
        <w:rPr>
          <w:rFonts w:ascii="Times New Roman" w:hAnsi="Times New Roman"/>
          <w:bCs/>
          <w:sz w:val="28"/>
          <w:szCs w:val="28"/>
          <w:lang w:eastAsia="ru-RU"/>
        </w:rPr>
        <w:t>ился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9E4CD1">
        <w:rPr>
          <w:rFonts w:ascii="Times New Roman" w:hAnsi="Times New Roman"/>
          <w:bCs/>
          <w:sz w:val="28"/>
          <w:szCs w:val="28"/>
          <w:lang w:eastAsia="ru-RU"/>
        </w:rPr>
        <w:t>21919,48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9E4CD1">
        <w:rPr>
          <w:rFonts w:ascii="Times New Roman" w:hAnsi="Times New Roman"/>
          <w:bCs/>
          <w:sz w:val="28"/>
          <w:szCs w:val="28"/>
          <w:lang w:eastAsia="ru-RU"/>
        </w:rPr>
        <w:t>2,8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E4CD1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E05A2D">
        <w:rPr>
          <w:rFonts w:ascii="Times New Roman" w:hAnsi="Times New Roman"/>
          <w:sz w:val="28"/>
          <w:szCs w:val="28"/>
          <w:lang w:eastAsia="ru-RU"/>
        </w:rPr>
        <w:t>1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F67A60" w:rsidRPr="00580C8F">
        <w:rPr>
          <w:rFonts w:ascii="Times New Roman" w:hAnsi="Times New Roman"/>
          <w:sz w:val="28"/>
          <w:szCs w:val="28"/>
        </w:rPr>
        <w:t>доля налоговых доходов</w:t>
      </w:r>
      <w:r w:rsidR="00580C8F" w:rsidRPr="00580C8F">
        <w:rPr>
          <w:rFonts w:ascii="Times New Roman" w:hAnsi="Times New Roman"/>
          <w:sz w:val="28"/>
          <w:szCs w:val="28"/>
        </w:rPr>
        <w:t xml:space="preserve"> </w:t>
      </w:r>
      <w:r w:rsidR="00F67A60" w:rsidRPr="00580C8F">
        <w:rPr>
          <w:rFonts w:ascii="Times New Roman" w:hAnsi="Times New Roman"/>
          <w:sz w:val="28"/>
          <w:szCs w:val="28"/>
        </w:rPr>
        <w:t xml:space="preserve">– с </w:t>
      </w:r>
      <w:r w:rsidR="009E4CD1">
        <w:rPr>
          <w:rFonts w:ascii="Times New Roman" w:hAnsi="Times New Roman"/>
          <w:sz w:val="28"/>
          <w:szCs w:val="28"/>
        </w:rPr>
        <w:t>15,0</w:t>
      </w:r>
      <w:r w:rsidR="00F67A60" w:rsidRPr="00580C8F">
        <w:rPr>
          <w:rFonts w:ascii="Times New Roman" w:hAnsi="Times New Roman"/>
          <w:sz w:val="28"/>
          <w:szCs w:val="28"/>
        </w:rPr>
        <w:t xml:space="preserve"> %</w:t>
      </w:r>
      <w:r w:rsidR="007F0524" w:rsidRP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9E4CD1">
        <w:rPr>
          <w:rFonts w:ascii="Times New Roman" w:hAnsi="Times New Roman"/>
          <w:sz w:val="28"/>
          <w:szCs w:val="28"/>
          <w:lang w:eastAsia="ru-RU"/>
        </w:rPr>
        <w:t>16,1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% и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неналоговых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E4CD1">
        <w:rPr>
          <w:rFonts w:ascii="Times New Roman" w:hAnsi="Times New Roman"/>
          <w:sz w:val="28"/>
          <w:szCs w:val="28"/>
          <w:lang w:eastAsia="ru-RU"/>
        </w:rPr>
        <w:t>4,1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9E4CD1">
        <w:rPr>
          <w:rFonts w:ascii="Times New Roman" w:hAnsi="Times New Roman"/>
          <w:sz w:val="28"/>
          <w:szCs w:val="28"/>
          <w:lang w:eastAsia="ru-RU"/>
        </w:rPr>
        <w:t>4,9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поступлений  –  </w:t>
      </w:r>
      <w:proofErr w:type="gramStart"/>
      <w:r w:rsidR="00F67A60" w:rsidRPr="00F67A6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D1">
        <w:rPr>
          <w:rFonts w:ascii="Times New Roman" w:hAnsi="Times New Roman"/>
          <w:sz w:val="28"/>
          <w:szCs w:val="28"/>
          <w:lang w:eastAsia="ru-RU"/>
        </w:rPr>
        <w:t>80,9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9E4CD1">
        <w:rPr>
          <w:rFonts w:ascii="Times New Roman" w:hAnsi="Times New Roman"/>
          <w:sz w:val="28"/>
          <w:szCs w:val="28"/>
          <w:lang w:eastAsia="ru-RU"/>
        </w:rPr>
        <w:t>79,0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:rsidR="00FA2BCA" w:rsidRPr="003E2FB0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B5FBA">
        <w:rPr>
          <w:rFonts w:ascii="Times New Roman" w:hAnsi="Times New Roman"/>
          <w:sz w:val="28"/>
          <w:szCs w:val="28"/>
          <w:lang w:eastAsia="ru-RU"/>
        </w:rPr>
        <w:t>1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CD1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AB5FBA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C78D9">
        <w:rPr>
          <w:rFonts w:ascii="Times New Roman" w:hAnsi="Times New Roman"/>
          <w:bCs/>
          <w:sz w:val="28"/>
          <w:szCs w:val="28"/>
          <w:lang w:eastAsia="ru-RU"/>
        </w:rPr>
        <w:t>154644,35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C78D9">
        <w:rPr>
          <w:rFonts w:ascii="Times New Roman" w:hAnsi="Times New Roman"/>
          <w:bCs/>
          <w:sz w:val="28"/>
          <w:szCs w:val="28"/>
          <w:lang w:eastAsia="ru-RU"/>
        </w:rPr>
        <w:t>41,8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144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2F4">
        <w:rPr>
          <w:rFonts w:ascii="Times New Roman" w:hAnsi="Times New Roman"/>
          <w:sz w:val="28"/>
          <w:szCs w:val="28"/>
          <w:lang w:eastAsia="ru-RU"/>
        </w:rPr>
        <w:t>(Таблица 1</w:t>
      </w:r>
      <w:r w:rsidRPr="000F612B">
        <w:rPr>
          <w:rFonts w:ascii="Times New Roman" w:hAnsi="Times New Roman"/>
          <w:sz w:val="28"/>
          <w:szCs w:val="28"/>
          <w:lang w:eastAsia="ru-RU"/>
        </w:rPr>
        <w:t>).</w:t>
      </w:r>
    </w:p>
    <w:p w:rsidR="000F612B" w:rsidRPr="000F612B" w:rsidRDefault="00A842F4" w:rsidP="00144A31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CD3BF0" w:rsidRDefault="000F612B" w:rsidP="001A5C8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налоговы</w:t>
      </w:r>
      <w:r w:rsidR="00BA12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квартал</w:t>
      </w:r>
      <w:r w:rsidR="00476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8555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372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3"/>
        <w:gridCol w:w="1700"/>
        <w:gridCol w:w="1417"/>
        <w:gridCol w:w="1418"/>
        <w:gridCol w:w="1275"/>
        <w:gridCol w:w="1560"/>
      </w:tblGrid>
      <w:tr w:rsidR="00DC78D9" w:rsidRPr="00DC78D9" w:rsidTr="00DC78D9">
        <w:trPr>
          <w:trHeight w:val="945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 года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полугодие 2022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налоговых доходов, %</w:t>
            </w:r>
          </w:p>
        </w:tc>
      </w:tr>
      <w:tr w:rsidR="00DC78D9" w:rsidRPr="00DC78D9" w:rsidTr="00DC78D9">
        <w:trPr>
          <w:trHeight w:val="300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8D9" w:rsidRPr="00DC78D9" w:rsidTr="00DC78D9">
        <w:trPr>
          <w:trHeight w:val="276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8D9" w:rsidRPr="00DC78D9" w:rsidTr="00DC78D9">
        <w:trPr>
          <w:trHeight w:val="315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8D9" w:rsidRPr="00DC78D9" w:rsidTr="00DC78D9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75448,41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75239,31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DC78D9" w:rsidRPr="00DC78D9" w:rsidTr="00DC78D9">
        <w:trPr>
          <w:trHeight w:val="1611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18590,87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23029,59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DC78D9" w:rsidRPr="00DC78D9" w:rsidTr="00DC78D9">
        <w:trPr>
          <w:trHeight w:val="6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37436,37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DC78D9" w:rsidRPr="00DC78D9" w:rsidTr="00DC78D9">
        <w:trPr>
          <w:trHeight w:val="63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16583,68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DC78D9" w:rsidRPr="00DC78D9" w:rsidTr="00DC78D9">
        <w:trPr>
          <w:trHeight w:val="31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2355,4</w:t>
            </w:r>
            <w:r w:rsidR="00743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8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C78D9" w:rsidRPr="00DC78D9" w:rsidTr="00DC78D9">
        <w:trPr>
          <w:trHeight w:val="30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144103,71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369844,00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154644,35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D9" w:rsidRPr="00DC78D9" w:rsidRDefault="00DC78D9" w:rsidP="00DC7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C7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364FA1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DC78D9">
        <w:rPr>
          <w:rFonts w:ascii="Times New Roman" w:hAnsi="Times New Roman"/>
          <w:sz w:val="28"/>
          <w:szCs w:val="28"/>
          <w:lang w:eastAsia="ru-RU"/>
        </w:rPr>
        <w:t>48,7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DC78D9">
        <w:rPr>
          <w:rFonts w:ascii="Times New Roman" w:hAnsi="Times New Roman"/>
          <w:sz w:val="28"/>
          <w:szCs w:val="28"/>
          <w:lang w:eastAsia="ru-RU"/>
        </w:rPr>
        <w:t>75239,31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64F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364FA1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DC78D9">
        <w:rPr>
          <w:rFonts w:ascii="Times New Roman" w:hAnsi="Times New Roman"/>
          <w:sz w:val="28"/>
          <w:szCs w:val="28"/>
          <w:lang w:eastAsia="ru-RU"/>
        </w:rPr>
        <w:t>52,4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0150DF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345DEB">
        <w:rPr>
          <w:rFonts w:ascii="Times New Roman" w:hAnsi="Times New Roman"/>
          <w:sz w:val="28"/>
          <w:szCs w:val="28"/>
          <w:lang w:eastAsia="ru-RU"/>
        </w:rPr>
        <w:t>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DC78D9">
        <w:rPr>
          <w:rFonts w:ascii="Times New Roman" w:hAnsi="Times New Roman"/>
          <w:sz w:val="28"/>
          <w:szCs w:val="28"/>
          <w:lang w:eastAsia="ru-RU"/>
        </w:rPr>
        <w:t>10540,64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DC78D9">
        <w:rPr>
          <w:rFonts w:ascii="Times New Roman" w:hAnsi="Times New Roman"/>
          <w:sz w:val="28"/>
          <w:szCs w:val="28"/>
          <w:lang w:eastAsia="ru-RU"/>
        </w:rPr>
        <w:t>7,3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45DE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45DEB">
        <w:rPr>
          <w:rFonts w:ascii="Times New Roman" w:hAnsi="Times New Roman"/>
          <w:sz w:val="28"/>
          <w:szCs w:val="28"/>
          <w:lang w:eastAsia="ru-RU"/>
        </w:rPr>
        <w:t>2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DC78D9">
        <w:rPr>
          <w:rFonts w:ascii="Times New Roman" w:hAnsi="Times New Roman"/>
          <w:sz w:val="28"/>
          <w:szCs w:val="28"/>
          <w:lang w:eastAsia="ru-RU"/>
        </w:rPr>
        <w:t>75239,31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C78D9">
        <w:rPr>
          <w:rFonts w:ascii="Times New Roman" w:hAnsi="Times New Roman"/>
          <w:sz w:val="28"/>
          <w:szCs w:val="28"/>
          <w:lang w:eastAsia="ru-RU"/>
        </w:rPr>
        <w:t>35,4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E3053D">
        <w:rPr>
          <w:rFonts w:ascii="Times New Roman" w:hAnsi="Times New Roman"/>
          <w:sz w:val="28"/>
          <w:szCs w:val="28"/>
          <w:lang w:eastAsia="ru-RU"/>
        </w:rPr>
        <w:t>1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E3053D">
        <w:rPr>
          <w:rFonts w:ascii="Times New Roman" w:hAnsi="Times New Roman"/>
          <w:sz w:val="28"/>
          <w:szCs w:val="28"/>
          <w:lang w:eastAsia="ru-RU"/>
        </w:rPr>
        <w:t>сниз</w:t>
      </w:r>
      <w:r w:rsidR="00AB46E1">
        <w:rPr>
          <w:rFonts w:ascii="Times New Roman" w:hAnsi="Times New Roman"/>
          <w:sz w:val="28"/>
          <w:szCs w:val="28"/>
          <w:lang w:eastAsia="ru-RU"/>
        </w:rPr>
        <w:t>ил</w:t>
      </w:r>
      <w:r w:rsidR="00695C63">
        <w:rPr>
          <w:rFonts w:ascii="Times New Roman" w:hAnsi="Times New Roman"/>
          <w:sz w:val="28"/>
          <w:szCs w:val="28"/>
          <w:lang w:eastAsia="ru-RU"/>
        </w:rPr>
        <w:t>и</w:t>
      </w:r>
      <w:r w:rsidR="00AB46E1">
        <w:rPr>
          <w:rFonts w:ascii="Times New Roman" w:hAnsi="Times New Roman"/>
          <w:sz w:val="28"/>
          <w:szCs w:val="28"/>
          <w:lang w:eastAsia="ru-RU"/>
        </w:rPr>
        <w:t>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C78D9">
        <w:rPr>
          <w:rFonts w:ascii="Times New Roman" w:hAnsi="Times New Roman"/>
          <w:sz w:val="28"/>
          <w:szCs w:val="28"/>
          <w:lang w:eastAsia="ru-RU"/>
        </w:rPr>
        <w:t>209,10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8D9">
        <w:rPr>
          <w:rFonts w:ascii="Times New Roman" w:hAnsi="Times New Roman"/>
          <w:sz w:val="28"/>
          <w:szCs w:val="28"/>
          <w:lang w:eastAsia="ru-RU"/>
        </w:rPr>
        <w:t>0,3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с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замен</w:t>
      </w:r>
      <w:r w:rsidR="000F452A">
        <w:rPr>
          <w:rFonts w:ascii="Times New Roman" w:hAnsi="Times New Roman"/>
          <w:sz w:val="28"/>
          <w:szCs w:val="28"/>
          <w:lang w:eastAsia="ru-RU"/>
        </w:rPr>
        <w:t>ой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дотации</w:t>
      </w:r>
      <w:r w:rsidR="00E440B4" w:rsidRPr="00E440B4">
        <w:t xml:space="preserve">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lastRenderedPageBreak/>
        <w:t>выравнивание бюджетной обеспеченности из краевого фонда финансовой поддержки в 202</w:t>
      </w:r>
      <w:r w:rsidR="001E1E76">
        <w:rPr>
          <w:rFonts w:ascii="Times New Roman" w:hAnsi="Times New Roman"/>
          <w:sz w:val="28"/>
          <w:szCs w:val="28"/>
          <w:lang w:eastAsia="ru-RU"/>
        </w:rPr>
        <w:t>2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подлежащей замене</w:t>
      </w:r>
      <w:r w:rsidR="00257757">
        <w:rPr>
          <w:rFonts w:ascii="Times New Roman" w:hAnsi="Times New Roman"/>
          <w:sz w:val="28"/>
          <w:szCs w:val="28"/>
          <w:lang w:eastAsia="ru-RU"/>
        </w:rPr>
        <w:t>,</w:t>
      </w:r>
      <w:r w:rsidR="00E440B4" w:rsidRPr="00E440B4">
        <w:rPr>
          <w:rFonts w:ascii="Times New Roman" w:hAnsi="Times New Roman"/>
          <w:sz w:val="28"/>
          <w:szCs w:val="28"/>
          <w:lang w:eastAsia="ru-RU"/>
        </w:rPr>
        <w:t xml:space="preserve"> на дополнительный норматив отчислений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40B4">
        <w:rPr>
          <w:rFonts w:ascii="Times New Roman" w:hAnsi="Times New Roman"/>
          <w:sz w:val="28"/>
          <w:szCs w:val="28"/>
          <w:lang w:eastAsia="ru-RU"/>
        </w:rPr>
        <w:t>который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40B4">
        <w:rPr>
          <w:rFonts w:ascii="Times New Roman" w:hAnsi="Times New Roman"/>
          <w:sz w:val="28"/>
          <w:szCs w:val="28"/>
          <w:lang w:eastAsia="ru-RU"/>
        </w:rPr>
        <w:t>текущем</w:t>
      </w:r>
      <w:r w:rsidR="00C50F25">
        <w:rPr>
          <w:rFonts w:ascii="Times New Roman" w:hAnsi="Times New Roman"/>
          <w:sz w:val="28"/>
          <w:szCs w:val="28"/>
          <w:lang w:eastAsia="ru-RU"/>
        </w:rPr>
        <w:t xml:space="preserve"> году составил – </w:t>
      </w:r>
      <w:r w:rsidR="001E1E76">
        <w:rPr>
          <w:rFonts w:ascii="Times New Roman" w:hAnsi="Times New Roman"/>
          <w:sz w:val="28"/>
          <w:szCs w:val="28"/>
          <w:lang w:eastAsia="ru-RU"/>
        </w:rPr>
        <w:t>3,33</w:t>
      </w:r>
      <w:r w:rsidR="00E3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 w:rsidRPr="000F452A">
        <w:rPr>
          <w:rFonts w:ascii="Times New Roman" w:hAnsi="Times New Roman"/>
          <w:sz w:val="28"/>
          <w:szCs w:val="28"/>
          <w:lang w:eastAsia="ru-RU"/>
        </w:rPr>
        <w:t>%.</w:t>
      </w:r>
    </w:p>
    <w:p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DC78D9">
        <w:rPr>
          <w:rFonts w:ascii="Times New Roman" w:hAnsi="Times New Roman"/>
          <w:sz w:val="28"/>
          <w:szCs w:val="28"/>
          <w:lang w:eastAsia="ru-RU"/>
        </w:rPr>
        <w:t>23029,59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C78D9">
        <w:rPr>
          <w:rFonts w:ascii="Times New Roman" w:hAnsi="Times New Roman"/>
          <w:sz w:val="28"/>
          <w:szCs w:val="28"/>
          <w:lang w:eastAsia="ru-RU"/>
        </w:rPr>
        <w:t>60,2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A74949">
        <w:rPr>
          <w:rFonts w:ascii="Times New Roman" w:hAnsi="Times New Roman"/>
          <w:sz w:val="28"/>
          <w:szCs w:val="28"/>
          <w:lang w:eastAsia="ru-RU"/>
        </w:rPr>
        <w:t>1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5281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8D9">
        <w:rPr>
          <w:rFonts w:ascii="Times New Roman" w:hAnsi="Times New Roman"/>
          <w:sz w:val="28"/>
          <w:szCs w:val="28"/>
          <w:lang w:eastAsia="ru-RU"/>
        </w:rPr>
        <w:t>4438,72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DC78D9">
        <w:rPr>
          <w:rFonts w:ascii="Times New Roman" w:hAnsi="Times New Roman"/>
          <w:sz w:val="28"/>
          <w:szCs w:val="28"/>
          <w:lang w:eastAsia="ru-RU"/>
        </w:rPr>
        <w:t>23,9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6823" w:rsidRDefault="00E6008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3D37">
        <w:rPr>
          <w:rFonts w:ascii="Times New Roman" w:hAnsi="Times New Roman"/>
          <w:sz w:val="28"/>
          <w:szCs w:val="28"/>
          <w:lang w:eastAsia="ru-RU"/>
        </w:rPr>
        <w:t>2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DC78D9">
        <w:rPr>
          <w:rFonts w:ascii="Times New Roman" w:hAnsi="Times New Roman"/>
          <w:sz w:val="28"/>
          <w:szCs w:val="28"/>
          <w:lang w:eastAsia="ru-RU"/>
        </w:rPr>
        <w:t>37436,37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C78D9">
        <w:rPr>
          <w:rFonts w:ascii="Times New Roman" w:hAnsi="Times New Roman"/>
          <w:sz w:val="28"/>
          <w:szCs w:val="28"/>
          <w:lang w:eastAsia="ru-RU"/>
        </w:rPr>
        <w:t>93,4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A4D35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C78D9">
        <w:rPr>
          <w:rFonts w:ascii="Times New Roman" w:hAnsi="Times New Roman"/>
          <w:sz w:val="28"/>
          <w:szCs w:val="28"/>
          <w:lang w:eastAsia="ru-RU"/>
        </w:rPr>
        <w:t>6610,02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C78D9">
        <w:rPr>
          <w:rFonts w:ascii="Times New Roman" w:hAnsi="Times New Roman"/>
          <w:sz w:val="28"/>
          <w:szCs w:val="28"/>
          <w:lang w:eastAsia="ru-RU"/>
        </w:rPr>
        <w:t>21,4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A7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связано</w:t>
      </w:r>
      <w:r w:rsidR="00DB2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установлен</w:t>
      </w:r>
      <w:r w:rsidR="00E12FFA">
        <w:rPr>
          <w:rFonts w:ascii="Times New Roman" w:hAnsi="Times New Roman"/>
          <w:sz w:val="28"/>
          <w:szCs w:val="28"/>
          <w:lang w:eastAsia="ru-RU"/>
        </w:rPr>
        <w:t>ием</w:t>
      </w:r>
      <w:r w:rsidR="00376B4D" w:rsidRPr="00376B4D">
        <w:t xml:space="preserve"> </w:t>
      </w:r>
      <w:r w:rsidR="00376B4D" w:rsidRPr="00376B4D">
        <w:rPr>
          <w:rFonts w:ascii="Times New Roman" w:hAnsi="Times New Roman"/>
          <w:sz w:val="28"/>
          <w:szCs w:val="28"/>
          <w:lang w:eastAsia="ru-RU"/>
        </w:rPr>
        <w:t xml:space="preserve">с 01.01.2021 г.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E12FFA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E12FFA">
        <w:rPr>
          <w:rFonts w:ascii="Times New Roman" w:hAnsi="Times New Roman"/>
          <w:sz w:val="28"/>
          <w:szCs w:val="28"/>
          <w:lang w:eastAsia="ru-RU"/>
        </w:rPr>
        <w:t>а</w:t>
      </w:r>
      <w:r w:rsidR="00E12FFA" w:rsidRPr="00E12FFA">
        <w:rPr>
          <w:rFonts w:ascii="Times New Roman" w:hAnsi="Times New Roman"/>
          <w:sz w:val="28"/>
          <w:szCs w:val="28"/>
          <w:lang w:eastAsia="ru-RU"/>
        </w:rPr>
        <w:t xml:space="preserve"> отчислений в бюджеты городских округов Ставропольского края от налога, взимаемого в связи с применением упрощенной системы налогообложения в размере 15%.</w:t>
      </w:r>
    </w:p>
    <w:p w:rsidR="00ED2938" w:rsidRDefault="007441EF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C78D9">
        <w:rPr>
          <w:rFonts w:ascii="Times New Roman" w:hAnsi="Times New Roman"/>
          <w:sz w:val="28"/>
          <w:szCs w:val="28"/>
          <w:lang w:eastAsia="ru-RU"/>
        </w:rPr>
        <w:t>16583,68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E4D2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DE4D2C">
        <w:rPr>
          <w:rFonts w:ascii="Times New Roman" w:hAnsi="Times New Roman"/>
          <w:sz w:val="28"/>
          <w:szCs w:val="28"/>
          <w:lang w:eastAsia="ru-RU"/>
        </w:rPr>
        <w:t>1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C78D9">
        <w:rPr>
          <w:rFonts w:ascii="Times New Roman" w:hAnsi="Times New Roman"/>
          <w:sz w:val="28"/>
          <w:szCs w:val="28"/>
          <w:lang w:eastAsia="ru-RU"/>
        </w:rPr>
        <w:t>снизилось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поступление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C78D9">
        <w:rPr>
          <w:rFonts w:ascii="Times New Roman" w:hAnsi="Times New Roman"/>
          <w:sz w:val="28"/>
          <w:szCs w:val="28"/>
          <w:lang w:eastAsia="ru-RU"/>
        </w:rPr>
        <w:t>297,63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DC78D9">
        <w:rPr>
          <w:rFonts w:ascii="Times New Roman" w:hAnsi="Times New Roman"/>
          <w:sz w:val="28"/>
          <w:szCs w:val="28"/>
          <w:lang w:eastAsia="ru-RU"/>
        </w:rPr>
        <w:t>1,8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924D7" w:rsidRDefault="00FB4E96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C78D9">
        <w:rPr>
          <w:rFonts w:ascii="Times New Roman" w:hAnsi="Times New Roman"/>
          <w:sz w:val="28"/>
          <w:szCs w:val="28"/>
          <w:lang w:eastAsia="ru-RU"/>
        </w:rPr>
        <w:t xml:space="preserve">2355,40 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C78D9">
        <w:rPr>
          <w:rFonts w:ascii="Times New Roman" w:hAnsi="Times New Roman"/>
          <w:sz w:val="28"/>
          <w:szCs w:val="28"/>
          <w:lang w:eastAsia="ru-RU"/>
        </w:rPr>
        <w:t>44,7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8173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DC78D9">
        <w:rPr>
          <w:rFonts w:ascii="Times New Roman" w:hAnsi="Times New Roman"/>
          <w:sz w:val="28"/>
          <w:szCs w:val="28"/>
          <w:lang w:eastAsia="ru-RU"/>
        </w:rPr>
        <w:t>уменьшились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8D9">
        <w:rPr>
          <w:rFonts w:ascii="Times New Roman" w:hAnsi="Times New Roman"/>
          <w:sz w:val="28"/>
          <w:szCs w:val="28"/>
          <w:lang w:eastAsia="ru-RU"/>
        </w:rPr>
        <w:t>1,37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DC78D9">
        <w:rPr>
          <w:rFonts w:ascii="Times New Roman" w:hAnsi="Times New Roman"/>
          <w:sz w:val="28"/>
          <w:szCs w:val="28"/>
          <w:lang w:eastAsia="ru-RU"/>
        </w:rPr>
        <w:t>0,1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2FB0" w:rsidRPr="00FB4E96" w:rsidRDefault="000F612B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2F83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DF2F83">
        <w:rPr>
          <w:rFonts w:ascii="Times New Roman" w:hAnsi="Times New Roman"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C78D9">
        <w:rPr>
          <w:rFonts w:ascii="Times New Roman" w:hAnsi="Times New Roman"/>
          <w:bCs/>
          <w:sz w:val="28"/>
          <w:szCs w:val="28"/>
          <w:lang w:eastAsia="ru-RU"/>
        </w:rPr>
        <w:t>46794,61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C78D9">
        <w:rPr>
          <w:rFonts w:ascii="Times New Roman" w:hAnsi="Times New Roman"/>
          <w:bCs/>
          <w:sz w:val="28"/>
          <w:szCs w:val="28"/>
          <w:lang w:eastAsia="ru-RU"/>
        </w:rPr>
        <w:t>67,4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FC5747">
        <w:rPr>
          <w:rFonts w:ascii="Times New Roman" w:hAnsi="Times New Roman"/>
          <w:bCs/>
          <w:sz w:val="28"/>
          <w:szCs w:val="28"/>
          <w:lang w:eastAsia="ru-RU"/>
        </w:rPr>
        <w:t>).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DF2F83">
        <w:rPr>
          <w:rFonts w:ascii="Times New Roman" w:hAnsi="Times New Roman"/>
          <w:bCs/>
          <w:sz w:val="28"/>
          <w:szCs w:val="28"/>
          <w:lang w:eastAsia="ru-RU"/>
        </w:rPr>
        <w:t>5,0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</w:p>
    <w:p w:rsidR="000F612B" w:rsidRPr="000F612B" w:rsidRDefault="002E4FFB" w:rsidP="00217A77">
      <w:pPr>
        <w:spacing w:after="0" w:line="240" w:lineRule="atLeast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</w:p>
    <w:p w:rsidR="000F612B" w:rsidRPr="000F612B" w:rsidRDefault="000F612B" w:rsidP="00215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Исполнение </w:t>
      </w:r>
      <w:r w:rsidR="00A250E4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неналоговы</w:t>
      </w:r>
      <w:r w:rsidR="00EA63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 доходам за </w:t>
      </w:r>
      <w:r w:rsidR="00DF2F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="00DC78D9">
        <w:rPr>
          <w:rFonts w:ascii="Times New Roman" w:hAnsi="Times New Roman"/>
          <w:b/>
          <w:bCs/>
          <w:sz w:val="28"/>
          <w:szCs w:val="28"/>
          <w:lang w:eastAsia="ru-RU"/>
        </w:rPr>
        <w:t>полугодие</w:t>
      </w:r>
      <w:r w:rsidR="000E6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7364"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FB2BC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DF2F83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года</w:t>
      </w:r>
    </w:p>
    <w:p w:rsidR="000F612B" w:rsidRPr="005301D8" w:rsidRDefault="00257DC4" w:rsidP="000F612B">
      <w:pPr>
        <w:spacing w:after="0" w:line="240" w:lineRule="atLeast"/>
        <w:jc w:val="right"/>
        <w:rPr>
          <w:rFonts w:ascii="Times New Roman" w:hAnsi="Times New Roman"/>
          <w:sz w:val="24"/>
          <w:szCs w:val="28"/>
          <w:lang w:eastAsia="ru-RU"/>
        </w:rPr>
      </w:pPr>
      <w:r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2220"/>
        <w:gridCol w:w="1482"/>
        <w:gridCol w:w="1376"/>
        <w:gridCol w:w="1246"/>
        <w:gridCol w:w="1097"/>
        <w:gridCol w:w="1539"/>
      </w:tblGrid>
      <w:tr w:rsidR="000D79BD" w:rsidRPr="000D79BD" w:rsidTr="0064726B">
        <w:trPr>
          <w:trHeight w:val="300"/>
          <w:tblHeader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2021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назначения 2022 года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исполнено за 1 полугодие 2022 года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в структуре неналоговых доходов, %</w:t>
            </w:r>
          </w:p>
        </w:tc>
      </w:tr>
      <w:tr w:rsidR="000D79BD" w:rsidRPr="000D79BD" w:rsidTr="0064726B">
        <w:trPr>
          <w:trHeight w:val="300"/>
          <w:tblHeader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9BD" w:rsidRPr="000D79BD" w:rsidTr="0064726B">
        <w:trPr>
          <w:trHeight w:val="300"/>
          <w:tblHeader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9BD" w:rsidRPr="000D79BD" w:rsidTr="0064726B">
        <w:trPr>
          <w:trHeight w:val="1095"/>
          <w:tblHeader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9BD" w:rsidRPr="000D79BD" w:rsidTr="0064726B">
        <w:trPr>
          <w:trHeight w:val="22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25485,20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51018,17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34801,42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</w:tr>
      <w:tr w:rsidR="000D79BD" w:rsidRPr="000D79BD" w:rsidTr="0064726B">
        <w:trPr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79BD" w:rsidRPr="000D79BD" w:rsidTr="0064726B">
        <w:trPr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5264,88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79BD" w:rsidRPr="000D79BD" w:rsidTr="0064726B">
        <w:trPr>
          <w:trHeight w:val="12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3264,80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D79BD" w:rsidRPr="000D79BD" w:rsidTr="0064726B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D79BD" w:rsidRPr="000D79BD" w:rsidTr="0064726B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891,17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1323,95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D79BD" w:rsidRPr="000D79BD" w:rsidTr="0064726B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BD" w:rsidRPr="000D79BD" w:rsidRDefault="000D79BD" w:rsidP="000D79B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4143,61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5692,67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4655,44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0D79BD" w:rsidRPr="000D79BD" w:rsidTr="0064726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39663,95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69376,84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46794,61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BD" w:rsidRPr="000D79BD" w:rsidRDefault="000D79BD" w:rsidP="000D79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D79B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7FF" w:rsidRDefault="000F612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поступивших за </w:t>
      </w:r>
      <w:r w:rsidR="000A19F2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D79BD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E70789">
        <w:rPr>
          <w:rFonts w:ascii="Times New Roman" w:hAnsi="Times New Roman"/>
          <w:sz w:val="28"/>
          <w:szCs w:val="28"/>
          <w:lang w:eastAsia="ru-RU"/>
        </w:rPr>
        <w:t>2</w:t>
      </w:r>
      <w:r w:rsidR="000A19F2">
        <w:rPr>
          <w:rFonts w:ascii="Times New Roman" w:hAnsi="Times New Roman"/>
          <w:sz w:val="28"/>
          <w:szCs w:val="28"/>
          <w:lang w:eastAsia="ru-RU"/>
        </w:rPr>
        <w:t>2</w:t>
      </w:r>
      <w:r w:rsidR="008C404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неналоговых доходов наибольший удельный вес составили </w:t>
      </w:r>
      <w:r w:rsidR="009A5537">
        <w:rPr>
          <w:rFonts w:ascii="Times New Roman" w:hAnsi="Times New Roman"/>
          <w:sz w:val="28"/>
          <w:szCs w:val="28"/>
          <w:lang w:eastAsia="ru-RU"/>
        </w:rPr>
        <w:t>д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оходы от </w:t>
      </w:r>
      <w:r w:rsidR="008B102C" w:rsidRPr="008B102C">
        <w:rPr>
          <w:rFonts w:ascii="Times New Roman" w:hAnsi="Times New Roman"/>
          <w:sz w:val="28"/>
          <w:szCs w:val="28"/>
          <w:lang w:eastAsia="ru-RU"/>
        </w:rPr>
        <w:t>оказания платных услуг, компенсация затрат государства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4726B">
        <w:rPr>
          <w:rFonts w:ascii="Times New Roman" w:hAnsi="Times New Roman"/>
          <w:sz w:val="28"/>
          <w:szCs w:val="28"/>
          <w:lang w:eastAsia="ru-RU"/>
        </w:rPr>
        <w:t>11,1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64726B">
        <w:rPr>
          <w:rFonts w:ascii="Times New Roman" w:hAnsi="Times New Roman"/>
          <w:sz w:val="28"/>
          <w:szCs w:val="28"/>
          <w:lang w:eastAsia="ru-RU"/>
        </w:rPr>
        <w:t>5179,14</w:t>
      </w:r>
      <w:r w:rsidR="00797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7F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27FF" w:rsidRPr="008830A4">
        <w:rPr>
          <w:rFonts w:ascii="Times New Roman" w:hAnsi="Times New Roman"/>
          <w:sz w:val="28"/>
          <w:szCs w:val="28"/>
          <w:lang w:eastAsia="ru-RU"/>
        </w:rPr>
        <w:t>)</w:t>
      </w:r>
      <w:r w:rsidR="008830A4" w:rsidRPr="008830A4">
        <w:rPr>
          <w:rFonts w:ascii="Times New Roman" w:hAnsi="Times New Roman"/>
          <w:sz w:val="28"/>
          <w:szCs w:val="28"/>
        </w:rPr>
        <w:t xml:space="preserve"> и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4726B">
        <w:rPr>
          <w:rFonts w:ascii="Times New Roman" w:hAnsi="Times New Roman"/>
          <w:sz w:val="28"/>
          <w:szCs w:val="28"/>
          <w:lang w:eastAsia="ru-RU"/>
        </w:rPr>
        <w:t>74,4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64726B">
        <w:rPr>
          <w:rFonts w:ascii="Times New Roman" w:hAnsi="Times New Roman"/>
          <w:sz w:val="28"/>
          <w:szCs w:val="28"/>
          <w:lang w:eastAsia="ru-RU"/>
        </w:rPr>
        <w:t>34801,42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6D11CC">
        <w:rPr>
          <w:rFonts w:ascii="Times New Roman" w:hAnsi="Times New Roman"/>
          <w:sz w:val="28"/>
          <w:szCs w:val="28"/>
          <w:lang w:eastAsia="ru-RU"/>
        </w:rPr>
        <w:t>1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657FDC">
        <w:rPr>
          <w:rFonts w:ascii="Times New Roman" w:hAnsi="Times New Roman"/>
          <w:sz w:val="28"/>
          <w:szCs w:val="28"/>
          <w:lang w:eastAsia="ru-RU"/>
        </w:rPr>
        <w:t>увели</w:t>
      </w:r>
      <w:r w:rsidR="004F4194">
        <w:rPr>
          <w:rFonts w:ascii="Times New Roman" w:hAnsi="Times New Roman"/>
          <w:sz w:val="28"/>
          <w:szCs w:val="28"/>
          <w:lang w:eastAsia="ru-RU"/>
        </w:rPr>
        <w:t>чились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726B">
        <w:rPr>
          <w:rFonts w:ascii="Times New Roman" w:hAnsi="Times New Roman"/>
          <w:sz w:val="28"/>
          <w:szCs w:val="28"/>
          <w:lang w:eastAsia="ru-RU"/>
        </w:rPr>
        <w:t>7130,66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4726B">
        <w:rPr>
          <w:rFonts w:ascii="Times New Roman" w:hAnsi="Times New Roman"/>
          <w:sz w:val="28"/>
          <w:szCs w:val="28"/>
          <w:lang w:eastAsia="ru-RU"/>
        </w:rPr>
        <w:t>18</w:t>
      </w:r>
      <w:r w:rsidR="00845CA2">
        <w:rPr>
          <w:rFonts w:ascii="Times New Roman" w:hAnsi="Times New Roman"/>
          <w:sz w:val="28"/>
          <w:szCs w:val="28"/>
          <w:lang w:eastAsia="ru-RU"/>
        </w:rPr>
        <w:t>,0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0E715C">
        <w:rPr>
          <w:rFonts w:ascii="Times New Roman" w:hAnsi="Times New Roman"/>
          <w:sz w:val="28"/>
          <w:szCs w:val="28"/>
          <w:lang w:eastAsia="ru-RU"/>
        </w:rPr>
        <w:t>увеличения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726B">
        <w:rPr>
          <w:rFonts w:ascii="Times New Roman" w:hAnsi="Times New Roman"/>
          <w:sz w:val="28"/>
          <w:szCs w:val="28"/>
          <w:lang w:eastAsia="ru-RU"/>
        </w:rPr>
        <w:t>9316,22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9D6" w:rsidRDefault="000F612B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местный бюджет</w:t>
      </w:r>
      <w:r w:rsidR="001827F6">
        <w:rPr>
          <w:rFonts w:ascii="Times New Roman" w:hAnsi="Times New Roman"/>
          <w:bCs/>
          <w:sz w:val="28"/>
          <w:szCs w:val="28"/>
          <w:lang w:eastAsia="ru-RU"/>
        </w:rPr>
        <w:t xml:space="preserve"> поступил</w:t>
      </w:r>
      <w:r w:rsidR="00A97EE3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4F5916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 xml:space="preserve">1 </w:t>
      </w:r>
      <w:r w:rsidR="0064726B">
        <w:rPr>
          <w:rFonts w:ascii="Times New Roman" w:hAnsi="Times New Roman"/>
          <w:bCs/>
          <w:sz w:val="28"/>
          <w:szCs w:val="28"/>
          <w:lang w:eastAsia="ru-RU"/>
        </w:rPr>
        <w:t xml:space="preserve">полугодие </w:t>
      </w:r>
      <w:r w:rsidR="001A662E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94BA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A68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F73">
        <w:rPr>
          <w:rFonts w:ascii="Times New Roman" w:hAnsi="Times New Roman"/>
          <w:bCs/>
          <w:sz w:val="28"/>
          <w:szCs w:val="28"/>
          <w:lang w:eastAsia="ru-RU"/>
        </w:rPr>
        <w:t xml:space="preserve">года в объеме </w:t>
      </w:r>
      <w:r w:rsidR="0064726B">
        <w:rPr>
          <w:rFonts w:ascii="Times New Roman" w:hAnsi="Times New Roman"/>
          <w:bCs/>
          <w:sz w:val="28"/>
          <w:szCs w:val="28"/>
          <w:lang w:eastAsia="ru-RU"/>
        </w:rPr>
        <w:t>756961,94</w:t>
      </w:r>
      <w:r w:rsidR="00014EF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70B8F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r w:rsidR="0064726B">
        <w:rPr>
          <w:rFonts w:ascii="Times New Roman" w:hAnsi="Times New Roman"/>
          <w:bCs/>
          <w:sz w:val="28"/>
          <w:szCs w:val="28"/>
          <w:lang w:eastAsia="ru-RU"/>
        </w:rPr>
        <w:t>49,6</w:t>
      </w:r>
      <w:r w:rsidR="000A5940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 от уточненного годового плана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>, в том числе:</w:t>
      </w:r>
    </w:p>
    <w:p w:rsidR="00F91307" w:rsidRDefault="002539D6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безвозмездные поступления от других бюджетов 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E17FC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726B">
        <w:rPr>
          <w:rFonts w:ascii="Times New Roman" w:hAnsi="Times New Roman"/>
          <w:bCs/>
          <w:sz w:val="28"/>
          <w:szCs w:val="28"/>
          <w:lang w:eastAsia="ru-RU"/>
        </w:rPr>
        <w:t>772411,32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9130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74295" w:rsidRDefault="00F91307" w:rsidP="0014695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2539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5BC4">
        <w:rPr>
          <w:rFonts w:ascii="Times New Roman" w:hAnsi="Times New Roman"/>
          <w:bCs/>
          <w:sz w:val="28"/>
          <w:szCs w:val="28"/>
          <w:lang w:eastAsia="ru-RU"/>
        </w:rPr>
        <w:t>3692,97</w:t>
      </w:r>
      <w:r w:rsidR="00F74295" w:rsidRPr="00F742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F74295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F612B" w:rsidRPr="000F612B" w:rsidRDefault="002E3DFD" w:rsidP="001469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F74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277A8">
        <w:rPr>
          <w:rFonts w:ascii="Times New Roman" w:hAnsi="Times New Roman"/>
          <w:sz w:val="28"/>
          <w:szCs w:val="28"/>
        </w:rPr>
        <w:t xml:space="preserve">озврат </w:t>
      </w:r>
      <w:r w:rsidR="004277A8"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–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AC7DBC">
        <w:rPr>
          <w:rFonts w:ascii="Times New Roman" w:hAnsi="Times New Roman"/>
          <w:sz w:val="28"/>
          <w:szCs w:val="28"/>
        </w:rPr>
        <w:t>«-»</w:t>
      </w:r>
      <w:r w:rsidR="00F85BC4">
        <w:rPr>
          <w:rFonts w:ascii="Times New Roman" w:hAnsi="Times New Roman"/>
          <w:sz w:val="28"/>
          <w:szCs w:val="28"/>
        </w:rPr>
        <w:t>19142,34</w:t>
      </w:r>
      <w:r w:rsidR="00E70B8F">
        <w:rPr>
          <w:rFonts w:ascii="Times New Roman" w:hAnsi="Times New Roman"/>
          <w:sz w:val="28"/>
          <w:szCs w:val="28"/>
        </w:rPr>
        <w:t xml:space="preserve"> </w:t>
      </w:r>
      <w:r w:rsidR="004277A8">
        <w:rPr>
          <w:rFonts w:ascii="Times New Roman" w:hAnsi="Times New Roman"/>
          <w:sz w:val="28"/>
          <w:szCs w:val="28"/>
        </w:rPr>
        <w:t>тыс. рублей.</w:t>
      </w:r>
    </w:p>
    <w:p w:rsidR="000F612B" w:rsidRDefault="000F612B" w:rsidP="00A0141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8919F4"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(более 99,</w:t>
      </w:r>
      <w:r w:rsidR="008173C2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="00F93464" w:rsidRPr="00F93464">
        <w:t xml:space="preserve"> </w:t>
      </w:r>
      <w:r w:rsidR="00F93464"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 w:rsidR="00F93464"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 xml:space="preserve">от других бюджетов  </w:t>
      </w:r>
      <w:r w:rsidR="00FB63D0"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 w:rsidR="00FB63D0"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276AD" w:rsidRDefault="008276AD" w:rsidP="00A0141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F85BC4">
        <w:rPr>
          <w:rFonts w:ascii="Times New Roman" w:hAnsi="Times New Roman"/>
          <w:sz w:val="28"/>
          <w:szCs w:val="28"/>
          <w:lang w:eastAsia="ru-RU"/>
        </w:rPr>
        <w:t>219786,00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B14C52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F85BC4">
        <w:rPr>
          <w:rFonts w:ascii="Times New Roman" w:hAnsi="Times New Roman"/>
          <w:sz w:val="28"/>
          <w:szCs w:val="28"/>
          <w:lang w:eastAsia="ru-RU"/>
        </w:rPr>
        <w:t>50</w:t>
      </w:r>
      <w:r w:rsidR="00B14C52">
        <w:rPr>
          <w:rFonts w:ascii="Times New Roman" w:hAnsi="Times New Roman"/>
          <w:sz w:val="28"/>
          <w:szCs w:val="28"/>
          <w:lang w:eastAsia="ru-RU"/>
        </w:rPr>
        <w:t>,0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4420" w:rsidRDefault="009005E5" w:rsidP="00AA44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F85BC4">
        <w:rPr>
          <w:rFonts w:ascii="Times New Roman" w:hAnsi="Times New Roman"/>
          <w:sz w:val="28"/>
          <w:szCs w:val="28"/>
          <w:lang w:eastAsia="ru-RU"/>
        </w:rPr>
        <w:t>31397,82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F85BC4">
        <w:rPr>
          <w:rFonts w:ascii="Times New Roman" w:hAnsi="Times New Roman"/>
          <w:sz w:val="28"/>
          <w:szCs w:val="28"/>
          <w:lang w:eastAsia="ru-RU"/>
        </w:rPr>
        <w:t>19,5</w:t>
      </w:r>
      <w:r w:rsidR="00293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:rsidR="002D6EDD" w:rsidRDefault="00E70B8F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 w:rsidR="00854FB0"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="000F612B"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85BC4">
        <w:rPr>
          <w:rFonts w:ascii="Times New Roman" w:hAnsi="Times New Roman"/>
          <w:bCs/>
          <w:sz w:val="28"/>
          <w:szCs w:val="28"/>
          <w:lang w:eastAsia="ru-RU"/>
        </w:rPr>
        <w:t>518467,51</w:t>
      </w:r>
      <w:r w:rsidR="00591F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8276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F85BC4">
        <w:rPr>
          <w:rFonts w:ascii="Times New Roman" w:hAnsi="Times New Roman"/>
          <w:bCs/>
          <w:sz w:val="28"/>
          <w:szCs w:val="28"/>
          <w:lang w:eastAsia="ru-RU"/>
        </w:rPr>
        <w:t>56,1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276AD"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:rsidR="00BE1D88" w:rsidRDefault="00366CDA" w:rsidP="002D6ED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36E5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5EBC">
        <w:rPr>
          <w:rFonts w:ascii="Times New Roman" w:hAnsi="Times New Roman"/>
          <w:bCs/>
          <w:sz w:val="28"/>
          <w:szCs w:val="28"/>
          <w:lang w:eastAsia="ru-RU"/>
        </w:rPr>
        <w:t>иные межбюджетные трансферты</w:t>
      </w:r>
      <w:r w:rsidR="009B1B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2487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5BC4">
        <w:rPr>
          <w:rFonts w:ascii="Times New Roman" w:hAnsi="Times New Roman"/>
          <w:bCs/>
          <w:sz w:val="28"/>
          <w:szCs w:val="28"/>
          <w:lang w:eastAsia="ru-RU"/>
        </w:rPr>
        <w:t>2759</w:t>
      </w:r>
      <w:r w:rsidR="00A0141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2D6EDD" w:rsidRPr="002D6EDD"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F85BC4">
        <w:rPr>
          <w:rFonts w:ascii="Times New Roman" w:hAnsi="Times New Roman"/>
          <w:bCs/>
          <w:sz w:val="28"/>
          <w:szCs w:val="28"/>
          <w:lang w:eastAsia="ru-RU"/>
        </w:rPr>
        <w:t>33,9</w:t>
      </w:r>
      <w:r w:rsidR="00293C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6EDD" w:rsidRPr="002D6ED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</w:t>
      </w:r>
      <w:r w:rsidR="002D6E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612B" w:rsidRPr="000F612B" w:rsidRDefault="000F612B" w:rsidP="000F612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2E04" w:rsidRDefault="000F612B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</w:t>
      </w:r>
      <w:r w:rsidR="000B5B2D" w:rsidRPr="004E4F9A">
        <w:rPr>
          <w:rFonts w:ascii="Times New Roman" w:hAnsi="Times New Roman"/>
          <w:b/>
          <w:sz w:val="28"/>
          <w:szCs w:val="28"/>
          <w:lang w:eastAsia="ru-RU"/>
        </w:rPr>
        <w:t>ной части</w:t>
      </w:r>
      <w:r w:rsidRPr="004E4F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50E4" w:rsidRPr="004E4F9A">
        <w:rPr>
          <w:rFonts w:ascii="Times New Roman" w:hAnsi="Times New Roman"/>
          <w:b/>
          <w:sz w:val="28"/>
          <w:szCs w:val="28"/>
          <w:lang w:eastAsia="ru-RU"/>
        </w:rPr>
        <w:t>местного бюджета</w:t>
      </w:r>
    </w:p>
    <w:p w:rsidR="00B24057" w:rsidRPr="004E4F9A" w:rsidRDefault="00B24057" w:rsidP="004E4F9A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56D2" w:rsidRDefault="0048266E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="00E32748"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862A36"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</w:t>
      </w:r>
      <w:r w:rsidR="00E32748">
        <w:rPr>
          <w:rFonts w:ascii="Times New Roman" w:hAnsi="Times New Roman"/>
          <w:sz w:val="28"/>
          <w:szCs w:val="28"/>
          <w:lang w:eastAsia="ru-RU"/>
        </w:rPr>
        <w:t>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862A36">
        <w:rPr>
          <w:rFonts w:ascii="Times New Roman" w:hAnsi="Times New Roman"/>
          <w:sz w:val="28"/>
          <w:szCs w:val="28"/>
          <w:lang w:eastAsia="ru-RU"/>
        </w:rPr>
        <w:t xml:space="preserve">утвержден в сумме </w:t>
      </w:r>
      <w:r w:rsidR="0020721E" w:rsidRPr="0020721E">
        <w:rPr>
          <w:rFonts w:ascii="Times New Roman" w:hAnsi="Times New Roman"/>
          <w:sz w:val="28"/>
          <w:szCs w:val="28"/>
          <w:lang w:eastAsia="ru-RU"/>
        </w:rPr>
        <w:t xml:space="preserve">1901063,05 </w:t>
      </w:r>
      <w:r w:rsidR="001C6E7F" w:rsidRPr="001C6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3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4A27" w:rsidRDefault="00D51A68" w:rsidP="00862A3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процессе исполнения местного бюджета в соответствии со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031E37">
        <w:rPr>
          <w:rFonts w:ascii="Times New Roman" w:hAnsi="Times New Roman"/>
          <w:sz w:val="28"/>
          <w:szCs w:val="28"/>
          <w:lang w:eastAsia="ru-RU"/>
        </w:rPr>
        <w:t xml:space="preserve"> 232 БК РФ, статьи 7 Решения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D22"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DFD">
        <w:rPr>
          <w:rFonts w:ascii="Times New Roman" w:hAnsi="Times New Roman"/>
          <w:sz w:val="28"/>
          <w:szCs w:val="28"/>
          <w:lang w:eastAsia="ru-RU"/>
        </w:rPr>
        <w:t>годовые плановые назначения по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793DFD">
        <w:rPr>
          <w:rFonts w:ascii="Times New Roman" w:hAnsi="Times New Roman"/>
          <w:sz w:val="28"/>
          <w:szCs w:val="28"/>
          <w:lang w:eastAsia="ru-RU"/>
        </w:rPr>
        <w:t>ам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увеличены на сумму </w:t>
      </w:r>
      <w:r w:rsidR="00CA7225">
        <w:rPr>
          <w:rFonts w:ascii="Times New Roman" w:hAnsi="Times New Roman"/>
          <w:sz w:val="28"/>
          <w:szCs w:val="28"/>
          <w:lang w:eastAsia="ru-RU"/>
        </w:rPr>
        <w:t>297269,11</w:t>
      </w:r>
      <w:r w:rsidR="00662D22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– дополнительн</w:t>
      </w:r>
      <w:r w:rsidR="00B12773">
        <w:rPr>
          <w:rFonts w:ascii="Times New Roman" w:hAnsi="Times New Roman"/>
          <w:sz w:val="28"/>
          <w:szCs w:val="28"/>
          <w:lang w:eastAsia="ru-RU"/>
        </w:rPr>
        <w:t>о</w:t>
      </w:r>
      <w:r w:rsidR="00477849">
        <w:rPr>
          <w:rFonts w:ascii="Times New Roman" w:hAnsi="Times New Roman"/>
          <w:sz w:val="28"/>
          <w:szCs w:val="28"/>
          <w:lang w:eastAsia="ru-RU"/>
        </w:rPr>
        <w:t xml:space="preserve"> поступивши</w:t>
      </w:r>
      <w:r w:rsidR="006756E3">
        <w:rPr>
          <w:rFonts w:ascii="Times New Roman" w:hAnsi="Times New Roman"/>
          <w:sz w:val="28"/>
          <w:szCs w:val="28"/>
          <w:lang w:eastAsia="ru-RU"/>
        </w:rPr>
        <w:t xml:space="preserve">х средств </w:t>
      </w:r>
      <w:r w:rsidR="00480BD5">
        <w:rPr>
          <w:rFonts w:ascii="Times New Roman" w:hAnsi="Times New Roman"/>
          <w:sz w:val="28"/>
          <w:szCs w:val="28"/>
          <w:lang w:eastAsia="ru-RU"/>
        </w:rPr>
        <w:t>из бюджета Ставропольского края</w:t>
      </w:r>
      <w:r w:rsidR="00A71C5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>остатков средств, образовавшихся на едином счете бюджета по состоянию на 01.01.202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 w:rsidR="00A71C52" w:rsidRPr="00A71C5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4A27">
        <w:rPr>
          <w:rFonts w:ascii="Times New Roman" w:hAnsi="Times New Roman"/>
          <w:sz w:val="28"/>
          <w:szCs w:val="28"/>
          <w:lang w:eastAsia="ru-RU"/>
        </w:rPr>
        <w:t>.</w:t>
      </w:r>
    </w:p>
    <w:p w:rsidR="00D9171D" w:rsidRDefault="009F4A27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</w:t>
      </w:r>
      <w:r w:rsidR="002A53E5">
        <w:rPr>
          <w:rFonts w:ascii="Times New Roman" w:hAnsi="Times New Roman"/>
          <w:sz w:val="28"/>
          <w:szCs w:val="28"/>
          <w:lang w:eastAsia="ru-RU"/>
        </w:rPr>
        <w:t>х изменений по состоянию на 01.</w:t>
      </w:r>
      <w:r w:rsidR="0020721E">
        <w:rPr>
          <w:rFonts w:ascii="Times New Roman" w:hAnsi="Times New Roman"/>
          <w:sz w:val="28"/>
          <w:szCs w:val="28"/>
          <w:lang w:eastAsia="ru-RU"/>
        </w:rPr>
        <w:t>0</w:t>
      </w:r>
      <w:r w:rsidR="00CA722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DE2CCF">
        <w:rPr>
          <w:rFonts w:ascii="Times New Roman" w:hAnsi="Times New Roman"/>
          <w:sz w:val="28"/>
          <w:szCs w:val="28"/>
          <w:lang w:eastAsia="ru-RU"/>
        </w:rPr>
        <w:t>2</w:t>
      </w:r>
      <w:r w:rsidR="0020721E">
        <w:rPr>
          <w:rFonts w:ascii="Times New Roman" w:hAnsi="Times New Roman"/>
          <w:sz w:val="28"/>
          <w:szCs w:val="28"/>
          <w:lang w:eastAsia="ru-RU"/>
        </w:rPr>
        <w:t>2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9171D"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по расходам с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CA7225">
        <w:rPr>
          <w:rFonts w:ascii="Times New Roman" w:hAnsi="Times New Roman"/>
          <w:sz w:val="28"/>
          <w:szCs w:val="28"/>
          <w:lang w:eastAsia="ru-RU"/>
        </w:rPr>
        <w:t>2198332,16</w:t>
      </w:r>
      <w:r w:rsidR="00BF6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тыс. рублей, из них по программной части </w:t>
      </w:r>
      <w:r w:rsidR="0054268E">
        <w:rPr>
          <w:rFonts w:ascii="Times New Roman" w:hAnsi="Times New Roman"/>
          <w:sz w:val="28"/>
          <w:szCs w:val="28"/>
          <w:lang w:eastAsia="ru-RU"/>
        </w:rPr>
        <w:t>–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82B">
        <w:rPr>
          <w:rFonts w:ascii="Times New Roman" w:hAnsi="Times New Roman"/>
          <w:sz w:val="28"/>
          <w:szCs w:val="28"/>
          <w:lang w:eastAsia="ru-RU"/>
        </w:rPr>
        <w:t>2173448,14</w:t>
      </w:r>
      <w:r w:rsidR="006A2646"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5D482B">
        <w:rPr>
          <w:rFonts w:ascii="Times New Roman" w:hAnsi="Times New Roman"/>
          <w:sz w:val="28"/>
          <w:szCs w:val="28"/>
          <w:lang w:eastAsia="ru-RU"/>
        </w:rPr>
        <w:t>20137,39</w:t>
      </w:r>
      <w:r w:rsidR="00B72056"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64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3698F">
        <w:rPr>
          <w:rFonts w:ascii="Times New Roman" w:hAnsi="Times New Roman"/>
          <w:sz w:val="28"/>
          <w:szCs w:val="28"/>
          <w:lang w:eastAsia="ru-RU"/>
        </w:rPr>
        <w:t>.</w:t>
      </w:r>
    </w:p>
    <w:p w:rsidR="00980C6A" w:rsidRDefault="00980C6A" w:rsidP="006D106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 w:rsidR="002A53E5">
        <w:rPr>
          <w:rFonts w:ascii="Times New Roman" w:hAnsi="Times New Roman"/>
          <w:sz w:val="28"/>
          <w:szCs w:val="28"/>
          <w:lang w:eastAsia="ru-RU"/>
        </w:rPr>
        <w:t xml:space="preserve">м сводной бюджетной росписи за </w:t>
      </w:r>
      <w:r w:rsidR="005D482B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CA7225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8075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64E3">
        <w:rPr>
          <w:rFonts w:ascii="Times New Roman" w:hAnsi="Times New Roman"/>
          <w:sz w:val="28"/>
          <w:szCs w:val="28"/>
          <w:lang w:eastAsia="ru-RU"/>
        </w:rPr>
        <w:t>2</w:t>
      </w:r>
      <w:r w:rsidR="005D482B">
        <w:rPr>
          <w:rFonts w:ascii="Times New Roman" w:hAnsi="Times New Roman"/>
          <w:sz w:val="28"/>
          <w:szCs w:val="28"/>
          <w:lang w:eastAsia="ru-RU"/>
        </w:rPr>
        <w:t>2</w:t>
      </w:r>
      <w:r w:rsidR="00DC10AC">
        <w:rPr>
          <w:rFonts w:ascii="Times New Roman" w:hAnsi="Times New Roman"/>
          <w:sz w:val="28"/>
          <w:szCs w:val="28"/>
          <w:lang w:eastAsia="ru-RU"/>
        </w:rPr>
        <w:t xml:space="preserve"> года более 61,7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                 2 </w:t>
      </w:r>
      <w:r w:rsidRPr="00980C6A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="00570121">
        <w:rPr>
          <w:rFonts w:ascii="Times New Roman" w:hAnsi="Times New Roman"/>
          <w:sz w:val="28"/>
          <w:szCs w:val="28"/>
          <w:lang w:eastAsia="ru-RU"/>
        </w:rPr>
        <w:t>е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программы: «Развитие образования в Ипатовском городском округе Ставропольского края» - </w:t>
      </w:r>
      <w:r w:rsidR="001C0E49">
        <w:rPr>
          <w:rFonts w:ascii="Times New Roman" w:hAnsi="Times New Roman"/>
          <w:sz w:val="28"/>
          <w:szCs w:val="28"/>
          <w:lang w:eastAsia="ru-RU"/>
        </w:rPr>
        <w:t>37,</w:t>
      </w:r>
      <w:r w:rsidR="00EE5B5F">
        <w:rPr>
          <w:rFonts w:ascii="Times New Roman" w:hAnsi="Times New Roman"/>
          <w:sz w:val="28"/>
          <w:szCs w:val="28"/>
          <w:lang w:eastAsia="ru-RU"/>
        </w:rPr>
        <w:t>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EE5B5F">
        <w:rPr>
          <w:rFonts w:ascii="Times New Roman" w:hAnsi="Times New Roman"/>
          <w:sz w:val="28"/>
          <w:szCs w:val="28"/>
          <w:lang w:eastAsia="ru-RU"/>
        </w:rPr>
        <w:t>823868,52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«Социальная поддержка граждан в Ипатовском городском округе Ставропольского края» - </w:t>
      </w:r>
      <w:r w:rsidR="001C0E49">
        <w:rPr>
          <w:rFonts w:ascii="Times New Roman" w:hAnsi="Times New Roman"/>
          <w:sz w:val="28"/>
          <w:szCs w:val="28"/>
          <w:lang w:eastAsia="ru-RU"/>
        </w:rPr>
        <w:t>24,</w:t>
      </w:r>
      <w:r w:rsidR="00EE5B5F">
        <w:rPr>
          <w:rFonts w:ascii="Times New Roman" w:hAnsi="Times New Roman"/>
          <w:sz w:val="28"/>
          <w:szCs w:val="28"/>
          <w:lang w:eastAsia="ru-RU"/>
        </w:rPr>
        <w:t>2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EE5B5F">
        <w:rPr>
          <w:rFonts w:ascii="Times New Roman" w:hAnsi="Times New Roman"/>
          <w:sz w:val="28"/>
          <w:szCs w:val="28"/>
          <w:lang w:eastAsia="ru-RU"/>
        </w:rPr>
        <w:t>527377,75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9C273F" w:rsidRDefault="00284313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сводной бюджетной росписью (с изменениями) кассовое исполнение расходов местного бюджета </w:t>
      </w:r>
      <w:r w:rsidR="00FE2F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E5B5F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1C0E49">
        <w:rPr>
          <w:rFonts w:ascii="Times New Roman" w:hAnsi="Times New Roman"/>
          <w:sz w:val="28"/>
          <w:szCs w:val="28"/>
          <w:lang w:eastAsia="ru-RU"/>
        </w:rPr>
        <w:t>2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года осуществляли </w:t>
      </w:r>
      <w:r w:rsidR="00244BBD">
        <w:rPr>
          <w:rFonts w:ascii="Times New Roman" w:hAnsi="Times New Roman"/>
          <w:sz w:val="28"/>
          <w:szCs w:val="28"/>
          <w:lang w:eastAsia="ru-RU"/>
        </w:rPr>
        <w:t>10</w:t>
      </w:r>
      <w:r w:rsidR="002E4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62F"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 w:rsidR="007536A6">
        <w:rPr>
          <w:rFonts w:ascii="Times New Roman" w:hAnsi="Times New Roman"/>
          <w:sz w:val="28"/>
          <w:szCs w:val="28"/>
          <w:lang w:eastAsia="ru-RU"/>
        </w:rPr>
        <w:t>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EE5B5F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C0E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BC5412">
        <w:rPr>
          <w:rFonts w:ascii="Times New Roman" w:hAnsi="Times New Roman"/>
          <w:sz w:val="28"/>
          <w:szCs w:val="28"/>
          <w:lang w:eastAsia="ru-RU"/>
        </w:rPr>
        <w:t>2</w:t>
      </w:r>
      <w:r w:rsidR="001C0E49">
        <w:rPr>
          <w:rFonts w:ascii="Times New Roman" w:hAnsi="Times New Roman"/>
          <w:sz w:val="28"/>
          <w:szCs w:val="28"/>
          <w:lang w:eastAsia="ru-RU"/>
        </w:rPr>
        <w:t>2</w:t>
      </w:r>
      <w:r w:rsidR="006D1061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EE5B5F">
        <w:rPr>
          <w:rFonts w:ascii="Times New Roman" w:hAnsi="Times New Roman"/>
          <w:sz w:val="28"/>
          <w:szCs w:val="28"/>
          <w:lang w:eastAsia="ru-RU"/>
        </w:rPr>
        <w:t>1045728,41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E65B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E5B5F">
        <w:rPr>
          <w:rFonts w:ascii="Times New Roman" w:hAnsi="Times New Roman"/>
          <w:sz w:val="28"/>
          <w:szCs w:val="28"/>
          <w:lang w:eastAsia="ru-RU"/>
        </w:rPr>
        <w:t>47,6</w:t>
      </w:r>
      <w:r w:rsidR="00D2604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7536A6">
        <w:rPr>
          <w:rFonts w:ascii="Times New Roman" w:hAnsi="Times New Roman"/>
          <w:sz w:val="28"/>
          <w:szCs w:val="28"/>
          <w:lang w:eastAsia="ru-RU"/>
        </w:rPr>
        <w:t>показателя сводной бюджетной росписи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(с изменениями). По сравнению с соответствующим периодом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03513">
        <w:rPr>
          <w:rFonts w:ascii="Times New Roman" w:hAnsi="Times New Roman"/>
          <w:sz w:val="28"/>
          <w:szCs w:val="28"/>
          <w:lang w:eastAsia="ru-RU"/>
        </w:rPr>
        <w:t>20</w:t>
      </w:r>
      <w:r w:rsidR="00683D64">
        <w:rPr>
          <w:rFonts w:ascii="Times New Roman" w:hAnsi="Times New Roman"/>
          <w:sz w:val="28"/>
          <w:szCs w:val="28"/>
          <w:lang w:eastAsia="ru-RU"/>
        </w:rPr>
        <w:t>2</w:t>
      </w:r>
      <w:r w:rsidR="00EE5B5F">
        <w:rPr>
          <w:rFonts w:ascii="Times New Roman" w:hAnsi="Times New Roman"/>
          <w:sz w:val="28"/>
          <w:szCs w:val="28"/>
          <w:lang w:eastAsia="ru-RU"/>
        </w:rPr>
        <w:t>2</w:t>
      </w:r>
      <w:r w:rsidR="00B03513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F0065">
        <w:rPr>
          <w:rFonts w:ascii="Times New Roman" w:hAnsi="Times New Roman"/>
          <w:sz w:val="28"/>
          <w:szCs w:val="28"/>
          <w:lang w:eastAsia="ru-RU"/>
        </w:rPr>
        <w:t xml:space="preserve">увеличилось на </w:t>
      </w:r>
      <w:r w:rsidR="00EE5B5F">
        <w:rPr>
          <w:rFonts w:ascii="Times New Roman" w:hAnsi="Times New Roman"/>
          <w:sz w:val="28"/>
          <w:szCs w:val="28"/>
          <w:lang w:eastAsia="ru-RU"/>
        </w:rPr>
        <w:t>112489,72</w:t>
      </w:r>
      <w:r w:rsidR="005F0065"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63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4710" w:rsidRP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 w:rsidR="00285E45">
        <w:rPr>
          <w:rFonts w:ascii="Times New Roman" w:hAnsi="Times New Roman"/>
          <w:sz w:val="28"/>
          <w:szCs w:val="28"/>
          <w:lang w:eastAsia="ru-RU"/>
        </w:rPr>
        <w:t>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бюджета расходы исполнены ниже среднего уровня (в диапазоне от </w:t>
      </w:r>
      <w:r w:rsidR="00285E45">
        <w:rPr>
          <w:rFonts w:ascii="Times New Roman" w:hAnsi="Times New Roman"/>
          <w:sz w:val="28"/>
          <w:szCs w:val="28"/>
          <w:lang w:eastAsia="ru-RU"/>
        </w:rPr>
        <w:t>4,4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285E45">
        <w:rPr>
          <w:rFonts w:ascii="Times New Roman" w:hAnsi="Times New Roman"/>
          <w:sz w:val="28"/>
          <w:szCs w:val="28"/>
          <w:lang w:eastAsia="ru-RU"/>
        </w:rPr>
        <w:t>18,4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285E45">
        <w:rPr>
          <w:rFonts w:ascii="Times New Roman" w:hAnsi="Times New Roman"/>
          <w:sz w:val="28"/>
          <w:szCs w:val="28"/>
          <w:lang w:eastAsia="ru-RU"/>
        </w:rPr>
        <w:t>1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</w:t>
      </w:r>
      <w:r w:rsidR="00285E45">
        <w:rPr>
          <w:rFonts w:ascii="Times New Roman" w:hAnsi="Times New Roman"/>
          <w:sz w:val="28"/>
          <w:szCs w:val="28"/>
          <w:lang w:eastAsia="ru-RU"/>
        </w:rPr>
        <w:t>о</w:t>
      </w:r>
      <w:r w:rsidRPr="00674710">
        <w:rPr>
          <w:rFonts w:ascii="Times New Roman" w:hAnsi="Times New Roman"/>
          <w:sz w:val="28"/>
          <w:szCs w:val="28"/>
          <w:lang w:eastAsia="ru-RU"/>
        </w:rPr>
        <w:t>м</w:t>
      </w:r>
      <w:r w:rsidR="00285E45">
        <w:rPr>
          <w:rFonts w:ascii="Times New Roman" w:hAnsi="Times New Roman"/>
          <w:sz w:val="28"/>
          <w:szCs w:val="28"/>
          <w:lang w:eastAsia="ru-RU"/>
        </w:rPr>
        <w:t>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85E45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5%: по </w:t>
      </w:r>
      <w:r w:rsidR="00D505C7">
        <w:rPr>
          <w:rFonts w:ascii="Times New Roman" w:hAnsi="Times New Roman"/>
          <w:sz w:val="28"/>
          <w:szCs w:val="28"/>
          <w:lang w:eastAsia="ru-RU"/>
        </w:rPr>
        <w:t>управлению по работе с территориями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4,</w:t>
      </w:r>
      <w:r w:rsidR="00D505C7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674710" w:rsidRDefault="00674710" w:rsidP="0067471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7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D505C7">
        <w:rPr>
          <w:rFonts w:ascii="Times New Roman" w:hAnsi="Times New Roman"/>
          <w:sz w:val="28"/>
          <w:szCs w:val="28"/>
          <w:lang w:eastAsia="ru-RU"/>
        </w:rPr>
        <w:t>4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средств </w:t>
      </w:r>
      <w:r w:rsidR="00D505C7">
        <w:rPr>
          <w:rFonts w:ascii="Times New Roman" w:hAnsi="Times New Roman"/>
          <w:sz w:val="28"/>
          <w:szCs w:val="28"/>
          <w:lang w:eastAsia="ru-RU"/>
        </w:rPr>
        <w:t>местн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ого бюджета расходы исполнены выше среднего уровня (в диапазоне от </w:t>
      </w:r>
      <w:r w:rsidR="000B71FC">
        <w:rPr>
          <w:rFonts w:ascii="Times New Roman" w:hAnsi="Times New Roman"/>
          <w:sz w:val="28"/>
          <w:szCs w:val="28"/>
          <w:lang w:eastAsia="ru-RU"/>
        </w:rPr>
        <w:t>19,8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 до </w:t>
      </w:r>
      <w:r w:rsidR="000B71FC">
        <w:rPr>
          <w:rFonts w:ascii="Times New Roman" w:hAnsi="Times New Roman"/>
          <w:sz w:val="28"/>
          <w:szCs w:val="28"/>
          <w:lang w:eastAsia="ru-RU"/>
        </w:rPr>
        <w:t>31,6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%), из них по </w:t>
      </w:r>
      <w:r w:rsidR="000B71F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674710">
        <w:rPr>
          <w:rFonts w:ascii="Times New Roman" w:hAnsi="Times New Roman"/>
          <w:sz w:val="28"/>
          <w:szCs w:val="28"/>
          <w:lang w:eastAsia="ru-RU"/>
        </w:rPr>
        <w:t>главн</w:t>
      </w:r>
      <w:r w:rsidR="000B71FC">
        <w:rPr>
          <w:rFonts w:ascii="Times New Roman" w:hAnsi="Times New Roman"/>
          <w:sz w:val="28"/>
          <w:szCs w:val="28"/>
          <w:lang w:eastAsia="ru-RU"/>
        </w:rPr>
        <w:t>ому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0B71FC">
        <w:rPr>
          <w:rFonts w:ascii="Times New Roman" w:hAnsi="Times New Roman"/>
          <w:sz w:val="28"/>
          <w:szCs w:val="28"/>
          <w:lang w:eastAsia="ru-RU"/>
        </w:rPr>
        <w:t>ю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более 25%: управление </w:t>
      </w:r>
      <w:r w:rsidR="000B71FC">
        <w:rPr>
          <w:rFonts w:ascii="Times New Roman" w:hAnsi="Times New Roman"/>
          <w:sz w:val="28"/>
          <w:szCs w:val="28"/>
          <w:lang w:eastAsia="ru-RU"/>
        </w:rPr>
        <w:t>труда и социальной защиты населени</w:t>
      </w:r>
      <w:r w:rsidR="00AD2114">
        <w:rPr>
          <w:rFonts w:ascii="Times New Roman" w:hAnsi="Times New Roman"/>
          <w:sz w:val="28"/>
          <w:szCs w:val="28"/>
          <w:lang w:eastAsia="ru-RU"/>
        </w:rPr>
        <w:t>я</w:t>
      </w:r>
      <w:r w:rsidRPr="0067471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114">
        <w:rPr>
          <w:rFonts w:ascii="Times New Roman" w:hAnsi="Times New Roman"/>
          <w:sz w:val="28"/>
          <w:szCs w:val="28"/>
          <w:lang w:eastAsia="ru-RU"/>
        </w:rPr>
        <w:t>31,6</w:t>
      </w:r>
      <w:r w:rsidRPr="00674710">
        <w:rPr>
          <w:rFonts w:ascii="Times New Roman" w:hAnsi="Times New Roman"/>
          <w:sz w:val="28"/>
          <w:szCs w:val="28"/>
          <w:lang w:eastAsia="ru-RU"/>
        </w:rPr>
        <w:t>%.</w:t>
      </w:r>
    </w:p>
    <w:p w:rsidR="009C273F" w:rsidRDefault="00E70FED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 местном бюджете и сводная бюджетная роспись сформированы в программной структуре расходов на основе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476F6">
        <w:rPr>
          <w:rFonts w:ascii="Times New Roman" w:hAnsi="Times New Roman"/>
          <w:sz w:val="28"/>
          <w:szCs w:val="28"/>
          <w:lang w:eastAsia="ru-RU"/>
        </w:rPr>
        <w:t>14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программ.</w:t>
      </w:r>
    </w:p>
    <w:p w:rsidR="0075496A" w:rsidRDefault="008160BF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01.04</w:t>
      </w:r>
      <w:r w:rsidR="0075496A">
        <w:rPr>
          <w:rFonts w:ascii="Times New Roman" w:hAnsi="Times New Roman"/>
          <w:sz w:val="28"/>
          <w:szCs w:val="28"/>
          <w:lang w:eastAsia="ru-RU"/>
        </w:rPr>
        <w:t>.20</w:t>
      </w:r>
      <w:r w:rsidR="00FE710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549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52F7">
        <w:rPr>
          <w:rFonts w:ascii="Times New Roman" w:hAnsi="Times New Roman"/>
          <w:sz w:val="28"/>
          <w:szCs w:val="28"/>
          <w:lang w:eastAsia="ru-RU"/>
        </w:rPr>
        <w:t>бюджетные ассигнования</w:t>
      </w:r>
      <w:r w:rsidR="005100FD">
        <w:rPr>
          <w:rFonts w:ascii="Times New Roman" w:hAnsi="Times New Roman"/>
          <w:sz w:val="28"/>
          <w:szCs w:val="28"/>
          <w:lang w:eastAsia="ru-RU"/>
        </w:rPr>
        <w:t xml:space="preserve"> решения о местном бюджете на реализацию муниципальных программ</w:t>
      </w:r>
      <w:r w:rsidR="003F6731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="00701146">
        <w:rPr>
          <w:rFonts w:ascii="Times New Roman" w:hAnsi="Times New Roman"/>
          <w:sz w:val="28"/>
          <w:szCs w:val="28"/>
          <w:lang w:eastAsia="ru-RU"/>
        </w:rPr>
        <w:t>а</w:t>
      </w:r>
      <w:r w:rsidR="003F6731">
        <w:rPr>
          <w:rFonts w:ascii="Times New Roman" w:hAnsi="Times New Roman"/>
          <w:sz w:val="28"/>
          <w:szCs w:val="28"/>
          <w:lang w:eastAsia="ru-RU"/>
        </w:rPr>
        <w:t>вляли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FC4">
        <w:rPr>
          <w:rFonts w:ascii="Times New Roman" w:hAnsi="Times New Roman"/>
          <w:sz w:val="28"/>
          <w:szCs w:val="28"/>
          <w:lang w:eastAsia="ru-RU"/>
        </w:rPr>
        <w:t>2173448,14</w:t>
      </w:r>
      <w:r w:rsidR="00701146" w:rsidRP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, сводной бюджетной росписи с изменениями – </w:t>
      </w:r>
      <w:r w:rsidR="00A04FC4">
        <w:rPr>
          <w:rFonts w:ascii="Times New Roman" w:hAnsi="Times New Roman"/>
          <w:sz w:val="28"/>
          <w:szCs w:val="28"/>
          <w:lang w:eastAsia="ru-RU"/>
        </w:rPr>
        <w:t>2173448,14</w:t>
      </w:r>
      <w:r w:rsidR="0070114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F6BE7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0F6BE7" w:rsidRPr="000137CB">
        <w:rPr>
          <w:rFonts w:ascii="Times New Roman" w:hAnsi="Times New Roman"/>
          <w:sz w:val="28"/>
          <w:szCs w:val="28"/>
          <w:lang w:eastAsia="ru-RU"/>
        </w:rPr>
        <w:t>99,</w:t>
      </w:r>
      <w:r w:rsidR="00B31B39">
        <w:rPr>
          <w:rFonts w:ascii="Times New Roman" w:hAnsi="Times New Roman"/>
          <w:sz w:val="28"/>
          <w:szCs w:val="28"/>
          <w:lang w:eastAsia="ru-RU"/>
        </w:rPr>
        <w:t>1</w:t>
      </w:r>
      <w:r w:rsidR="00FB05A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351B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B58FF">
        <w:rPr>
          <w:rFonts w:ascii="Times New Roman" w:hAnsi="Times New Roman"/>
          <w:sz w:val="28"/>
          <w:szCs w:val="28"/>
          <w:lang w:eastAsia="ru-RU"/>
        </w:rPr>
        <w:t xml:space="preserve">84752,02 </w:t>
      </w:r>
      <w:r w:rsidR="00FB555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A0188">
        <w:rPr>
          <w:rFonts w:ascii="Times New Roman" w:hAnsi="Times New Roman"/>
          <w:sz w:val="28"/>
          <w:szCs w:val="28"/>
          <w:lang w:eastAsia="ru-RU"/>
        </w:rPr>
        <w:t>4,1</w:t>
      </w:r>
      <w:r w:rsidR="009405AA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</w:t>
      </w:r>
      <w:r w:rsidR="00287956">
        <w:rPr>
          <w:rFonts w:ascii="Times New Roman" w:hAnsi="Times New Roman"/>
          <w:sz w:val="28"/>
          <w:szCs w:val="28"/>
          <w:lang w:eastAsia="ru-RU"/>
        </w:rPr>
        <w:t>аналогичном периоде 202</w:t>
      </w:r>
      <w:r w:rsidR="00B31B39">
        <w:rPr>
          <w:rFonts w:ascii="Times New Roman" w:hAnsi="Times New Roman"/>
          <w:sz w:val="28"/>
          <w:szCs w:val="28"/>
          <w:lang w:eastAsia="ru-RU"/>
        </w:rPr>
        <w:t>1</w:t>
      </w:r>
      <w:r w:rsidR="00EC6D84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36EC">
        <w:rPr>
          <w:rFonts w:ascii="Times New Roman" w:hAnsi="Times New Roman"/>
          <w:sz w:val="28"/>
          <w:szCs w:val="28"/>
          <w:lang w:eastAsia="ru-RU"/>
        </w:rPr>
        <w:t>2088696,12</w:t>
      </w:r>
      <w:r w:rsidR="0043345A" w:rsidRPr="00433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D8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9C273F" w:rsidRPr="00142EC8" w:rsidRDefault="00BC070C" w:rsidP="00BC070C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95848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</w:t>
      </w:r>
      <w:r w:rsidR="001C2DA3">
        <w:rPr>
          <w:rFonts w:ascii="Times New Roman" w:hAnsi="Times New Roman"/>
          <w:sz w:val="28"/>
          <w:szCs w:val="28"/>
          <w:lang w:eastAsia="ru-RU"/>
        </w:rPr>
        <w:t xml:space="preserve"> относительно первоначальных бюджетных ассигнований)</w:t>
      </w:r>
      <w:r w:rsidR="00547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ADC">
        <w:rPr>
          <w:rFonts w:ascii="Times New Roman" w:hAnsi="Times New Roman"/>
          <w:sz w:val="28"/>
          <w:szCs w:val="28"/>
          <w:lang w:eastAsia="ru-RU"/>
        </w:rPr>
        <w:t>произведено по муниципальным пр</w:t>
      </w:r>
      <w:r w:rsidR="003D0168">
        <w:rPr>
          <w:rFonts w:ascii="Times New Roman" w:hAnsi="Times New Roman"/>
          <w:sz w:val="28"/>
          <w:szCs w:val="28"/>
          <w:lang w:eastAsia="ru-RU"/>
        </w:rPr>
        <w:t>о</w:t>
      </w:r>
      <w:r w:rsidR="00067ADC">
        <w:rPr>
          <w:rFonts w:ascii="Times New Roman" w:hAnsi="Times New Roman"/>
          <w:sz w:val="28"/>
          <w:szCs w:val="28"/>
          <w:lang w:eastAsia="ru-RU"/>
        </w:rPr>
        <w:t>граммам</w:t>
      </w:r>
      <w:r w:rsidR="003D016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>«</w:t>
      </w:r>
      <w:r w:rsidR="00406C9B" w:rsidRPr="00406C9B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 Ипатовского городского округа Ставропольского края</w:t>
      </w:r>
      <w:r w:rsidR="00CC4A3A" w:rsidRPr="00CC4A3A">
        <w:rPr>
          <w:rFonts w:ascii="Times New Roman" w:hAnsi="Times New Roman"/>
          <w:sz w:val="28"/>
          <w:szCs w:val="28"/>
          <w:lang w:eastAsia="ru-RU"/>
        </w:rPr>
        <w:t xml:space="preserve">» –  </w:t>
      </w:r>
      <w:r w:rsidR="006631B5">
        <w:rPr>
          <w:rFonts w:ascii="Times New Roman" w:hAnsi="Times New Roman"/>
          <w:sz w:val="28"/>
          <w:szCs w:val="28"/>
          <w:lang w:eastAsia="ru-RU"/>
        </w:rPr>
        <w:t>более чем в 8 раз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3C69B4">
        <w:rPr>
          <w:rFonts w:ascii="Times New Roman" w:hAnsi="Times New Roman"/>
          <w:sz w:val="28"/>
          <w:szCs w:val="28"/>
          <w:lang w:eastAsia="ru-RU"/>
        </w:rPr>
        <w:t>220855,82</w:t>
      </w:r>
      <w:r w:rsidR="00CC4A3A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="00142EC8" w:rsidRPr="00142EC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631B5" w:rsidRPr="006631B5">
        <w:rPr>
          <w:rFonts w:ascii="Times New Roman" w:hAnsi="Times New Roman"/>
          <w:bCs/>
          <w:sz w:val="28"/>
          <w:szCs w:val="28"/>
          <w:lang w:eastAsia="ru-RU"/>
        </w:rPr>
        <w:t xml:space="preserve">Развитие жилищно-коммунального хозяйства, защита населения и территории от чрезвычайных ситуаций </w:t>
      </w:r>
      <w:r w:rsidR="00142EC8" w:rsidRPr="00142EC8">
        <w:rPr>
          <w:rFonts w:ascii="Times New Roman" w:hAnsi="Times New Roman"/>
          <w:bCs/>
          <w:sz w:val="28"/>
          <w:szCs w:val="28"/>
          <w:lang w:eastAsia="ru-RU"/>
        </w:rPr>
        <w:t>в Ипатовском городс</w:t>
      </w:r>
      <w:r w:rsidR="00142EC8">
        <w:rPr>
          <w:rFonts w:ascii="Times New Roman" w:hAnsi="Times New Roman"/>
          <w:bCs/>
          <w:sz w:val="28"/>
          <w:szCs w:val="28"/>
          <w:lang w:eastAsia="ru-RU"/>
        </w:rPr>
        <w:t>ком округе Ставропольского края»</w:t>
      </w:r>
      <w:r w:rsidR="00CC5E4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029CD">
        <w:rPr>
          <w:rFonts w:ascii="Times New Roman" w:hAnsi="Times New Roman"/>
          <w:sz w:val="28"/>
          <w:szCs w:val="28"/>
          <w:lang w:eastAsia="ru-RU"/>
        </w:rPr>
        <w:t>45,5</w:t>
      </w:r>
      <w:r w:rsidR="00CC4CD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1765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31B5">
        <w:rPr>
          <w:rFonts w:ascii="Times New Roman" w:hAnsi="Times New Roman"/>
          <w:sz w:val="28"/>
          <w:szCs w:val="28"/>
          <w:lang w:eastAsia="ru-RU"/>
        </w:rPr>
        <w:t>45729,65</w:t>
      </w:r>
      <w:r w:rsidR="001F0D00" w:rsidRPr="001F0D00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B91900" w:rsidRPr="00B91900">
        <w:rPr>
          <w:rFonts w:ascii="Times New Roman" w:hAnsi="Times New Roman"/>
          <w:sz w:val="28"/>
          <w:szCs w:val="28"/>
          <w:lang w:eastAsia="ru-RU"/>
        </w:rPr>
        <w:t>.</w:t>
      </w:r>
    </w:p>
    <w:p w:rsidR="00DA4472" w:rsidRDefault="001C2719" w:rsidP="00980C6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 w:rsidR="006449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на реализацию муниципальны</w:t>
      </w:r>
      <w:r w:rsidR="002E7E6B">
        <w:rPr>
          <w:rFonts w:ascii="Times New Roman" w:hAnsi="Times New Roman"/>
          <w:sz w:val="28"/>
          <w:szCs w:val="28"/>
          <w:lang w:eastAsia="ru-RU"/>
        </w:rPr>
        <w:t>х программ по состоянию на 01.</w:t>
      </w:r>
      <w:r w:rsidR="00C029CD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7F47F8">
        <w:rPr>
          <w:rFonts w:ascii="Times New Roman" w:hAnsi="Times New Roman"/>
          <w:sz w:val="28"/>
          <w:szCs w:val="28"/>
          <w:lang w:eastAsia="ru-RU"/>
        </w:rPr>
        <w:t>2</w:t>
      </w:r>
      <w:r w:rsidR="00C029C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C029CD">
        <w:rPr>
          <w:rFonts w:ascii="Times New Roman" w:hAnsi="Times New Roman"/>
          <w:sz w:val="28"/>
          <w:szCs w:val="28"/>
          <w:lang w:eastAsia="ru-RU"/>
        </w:rPr>
        <w:t>424838</w:t>
      </w:r>
      <w:r w:rsidR="00B03B9D">
        <w:rPr>
          <w:rFonts w:ascii="Times New Roman" w:hAnsi="Times New Roman"/>
          <w:sz w:val="28"/>
          <w:szCs w:val="28"/>
          <w:lang w:eastAsia="ru-RU"/>
        </w:rPr>
        <w:t>,</w:t>
      </w:r>
      <w:r w:rsidR="00C029CD">
        <w:rPr>
          <w:rFonts w:ascii="Times New Roman" w:hAnsi="Times New Roman"/>
          <w:sz w:val="28"/>
          <w:szCs w:val="28"/>
          <w:lang w:eastAsia="ru-RU"/>
        </w:rPr>
        <w:t>21</w:t>
      </w:r>
      <w:r w:rsidR="00D32437"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4770BE">
        <w:rPr>
          <w:rFonts w:ascii="Times New Roman" w:hAnsi="Times New Roman"/>
          <w:sz w:val="28"/>
          <w:szCs w:val="28"/>
          <w:lang w:eastAsia="ru-RU"/>
        </w:rPr>
        <w:t>19</w:t>
      </w:r>
      <w:r w:rsidR="00B03B9D">
        <w:rPr>
          <w:rFonts w:ascii="Times New Roman" w:hAnsi="Times New Roman"/>
          <w:sz w:val="28"/>
          <w:szCs w:val="28"/>
          <w:lang w:eastAsia="ru-RU"/>
        </w:rPr>
        <w:t>,5</w:t>
      </w:r>
      <w:r w:rsidR="00D3243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E05BD"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 w:rsidR="009E05BD">
        <w:rPr>
          <w:rFonts w:ascii="Times New Roman" w:hAnsi="Times New Roman"/>
          <w:sz w:val="28"/>
          <w:szCs w:val="28"/>
          <w:lang w:eastAsia="ru-RU"/>
        </w:rPr>
        <w:t xml:space="preserve">(с изменениями), что </w:t>
      </w:r>
      <w:r w:rsidR="00DA4472">
        <w:rPr>
          <w:rFonts w:ascii="Times New Roman" w:hAnsi="Times New Roman"/>
          <w:sz w:val="28"/>
          <w:szCs w:val="28"/>
          <w:lang w:eastAsia="ru-RU"/>
        </w:rPr>
        <w:t xml:space="preserve">выше уровня исполнения указанных расходов за аналогичный период предыдущего года на </w:t>
      </w:r>
      <w:r w:rsidR="007C5DFD">
        <w:rPr>
          <w:rFonts w:ascii="Times New Roman" w:hAnsi="Times New Roman"/>
          <w:sz w:val="28"/>
          <w:szCs w:val="28"/>
          <w:lang w:eastAsia="ru-RU"/>
        </w:rPr>
        <w:t>0,1</w:t>
      </w:r>
      <w:r w:rsidR="00704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472">
        <w:rPr>
          <w:rFonts w:ascii="Times New Roman" w:hAnsi="Times New Roman"/>
          <w:sz w:val="28"/>
          <w:szCs w:val="28"/>
          <w:lang w:eastAsia="ru-RU"/>
        </w:rPr>
        <w:t>%.</w:t>
      </w:r>
    </w:p>
    <w:p w:rsidR="00CC5E42" w:rsidRDefault="005B0130" w:rsidP="00CC5E4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по уровню исполнения </w:t>
      </w:r>
      <w:r w:rsidR="00BC765C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программ приведена в следующей таблице:</w:t>
      </w:r>
    </w:p>
    <w:p w:rsidR="00BC070C" w:rsidRDefault="00CC5E42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C5967" w:rsidRPr="00DA5DE1">
        <w:rPr>
          <w:rFonts w:ascii="Times New Roman" w:hAnsi="Times New Roman"/>
          <w:sz w:val="24"/>
          <w:szCs w:val="28"/>
          <w:lang w:eastAsia="ru-RU"/>
        </w:rPr>
        <w:t>тыс. рублей</w:t>
      </w:r>
      <w:r w:rsidR="005B0130" w:rsidRPr="00DA5DE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96576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20"/>
        <w:gridCol w:w="3520"/>
        <w:gridCol w:w="1860"/>
        <w:gridCol w:w="1800"/>
        <w:gridCol w:w="1440"/>
      </w:tblGrid>
      <w:tr w:rsidR="00125E60" w:rsidRPr="00125E60" w:rsidTr="00125E60">
        <w:trPr>
          <w:trHeight w:val="300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125E60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125E60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Бюджетные ассигнования, установленные сводной бюджетной росписью на 01.07.2022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Исполнено</w:t>
            </w:r>
          </w:p>
        </w:tc>
      </w:tr>
      <w:tr w:rsidR="00125E60" w:rsidRPr="00125E60" w:rsidTr="00125E60">
        <w:trPr>
          <w:trHeight w:val="20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сумма на 01.07.2022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125E60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 % к сводной бюджетной росписи на 01.07.2022 года</w:t>
            </w:r>
          </w:p>
        </w:tc>
      </w:tr>
      <w:tr w:rsidR="00125E60" w:rsidRPr="00125E60" w:rsidTr="00125E60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2176040,56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1040311,24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</w:tr>
      <w:tr w:rsidR="00125E60" w:rsidRPr="00125E60" w:rsidTr="00125E60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 расходов на уровне 0,01 % - 20,0 %</w:t>
            </w:r>
          </w:p>
        </w:tc>
      </w:tr>
      <w:tr w:rsidR="00125E60" w:rsidRPr="00125E60" w:rsidTr="00125E60">
        <w:trPr>
          <w:trHeight w:val="4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22005,04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0,03</w:t>
            </w:r>
          </w:p>
        </w:tc>
      </w:tr>
      <w:tr w:rsidR="00125E60" w:rsidRPr="00125E60" w:rsidTr="00125E60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 расходов на уровне 20,1 % - 50,0 %</w:t>
            </w:r>
          </w:p>
        </w:tc>
      </w:tr>
      <w:tr w:rsidR="00125E60" w:rsidRPr="00125E60" w:rsidTr="00125E60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Межнациональные отношения, поддержка казачества, профилактика правонарушений и терроризма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8221,31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2422,53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29,5</w:t>
            </w:r>
          </w:p>
        </w:tc>
      </w:tr>
      <w:tr w:rsidR="00125E60" w:rsidRPr="00125E60" w:rsidTr="00125E60">
        <w:trPr>
          <w:trHeight w:val="10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Развитие жилищно-коммунального хозяйства, защита населения и территории от чрезвычайных ситуаций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146783,13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45903,98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31,3</w:t>
            </w:r>
          </w:p>
        </w:tc>
      </w:tr>
      <w:tr w:rsidR="00125E60" w:rsidRPr="00125E60" w:rsidTr="00125E60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251867,82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81630,67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32,4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14933,52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6348,31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42,5</w:t>
            </w:r>
          </w:p>
        </w:tc>
      </w:tr>
      <w:tr w:rsidR="00125E60" w:rsidRPr="00125E60" w:rsidTr="00125E60">
        <w:trPr>
          <w:trHeight w:val="13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156300,96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69467,58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44,4</w:t>
            </w:r>
          </w:p>
        </w:tc>
      </w:tr>
      <w:tr w:rsidR="00125E60" w:rsidRPr="00125E60" w:rsidTr="00125E60">
        <w:trPr>
          <w:trHeight w:val="3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Развитие культуры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138218,60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63318,55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</w:tr>
      <w:tr w:rsidR="00125E60" w:rsidRPr="00125E60" w:rsidTr="00125E60">
        <w:trPr>
          <w:trHeight w:val="5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44067,50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20356,15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46,2</w:t>
            </w:r>
          </w:p>
        </w:tc>
      </w:tr>
      <w:tr w:rsidR="00125E60" w:rsidRPr="00125E60" w:rsidTr="00125E60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18637,18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9096,36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48,8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4854,28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2416,18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49,8</w:t>
            </w:r>
          </w:p>
        </w:tc>
      </w:tr>
      <w:tr w:rsidR="00125E60" w:rsidRPr="00125E60" w:rsidTr="00125E60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Исполнение расходов на уровне более 50,1 %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823868,52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420737,22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51,1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16928,30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9615,55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56,8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527377,75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307583,00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58,3</w:t>
            </w:r>
          </w:p>
        </w:tc>
      </w:tr>
      <w:tr w:rsidR="00125E60" w:rsidRPr="00125E60" w:rsidTr="00125E6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1976,65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1408,91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60" w:rsidRPr="00125E60" w:rsidRDefault="00125E60" w:rsidP="00125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E60">
              <w:rPr>
                <w:rFonts w:ascii="Times New Roman" w:hAnsi="Times New Roman"/>
                <w:color w:val="000000"/>
                <w:lang w:eastAsia="ru-RU"/>
              </w:rPr>
              <w:t>71,3</w:t>
            </w:r>
          </w:p>
        </w:tc>
      </w:tr>
    </w:tbl>
    <w:p w:rsidR="00321E4C" w:rsidRDefault="00321E4C" w:rsidP="0011120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0744" w:rsidRDefault="00280744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0744">
        <w:rPr>
          <w:rFonts w:ascii="Times New Roman" w:hAnsi="Times New Roman"/>
          <w:sz w:val="28"/>
          <w:szCs w:val="28"/>
          <w:lang w:eastAsia="ru-RU"/>
        </w:rPr>
        <w:t xml:space="preserve">По состоянию на 01 </w:t>
      </w:r>
      <w:r w:rsidR="00000BB8">
        <w:rPr>
          <w:rFonts w:ascii="Times New Roman" w:hAnsi="Times New Roman"/>
          <w:sz w:val="28"/>
          <w:szCs w:val="28"/>
          <w:lang w:eastAsia="ru-RU"/>
        </w:rPr>
        <w:t>июл</w:t>
      </w:r>
      <w:r w:rsidRPr="00280744">
        <w:rPr>
          <w:rFonts w:ascii="Times New Roman" w:hAnsi="Times New Roman"/>
          <w:sz w:val="28"/>
          <w:szCs w:val="28"/>
          <w:lang w:eastAsia="ru-RU"/>
        </w:rPr>
        <w:t>я 202</w:t>
      </w:r>
      <w:r w:rsidR="00036A25">
        <w:rPr>
          <w:rFonts w:ascii="Times New Roman" w:hAnsi="Times New Roman"/>
          <w:sz w:val="28"/>
          <w:szCs w:val="28"/>
          <w:lang w:eastAsia="ru-RU"/>
        </w:rPr>
        <w:t>2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года на уровне  </w:t>
      </w:r>
      <w:r w:rsidR="00000BB8">
        <w:rPr>
          <w:rFonts w:ascii="Times New Roman" w:hAnsi="Times New Roman"/>
          <w:sz w:val="28"/>
          <w:szCs w:val="28"/>
          <w:lang w:eastAsia="ru-RU"/>
        </w:rPr>
        <w:t>0,01</w:t>
      </w:r>
      <w:r w:rsidR="00036A25">
        <w:rPr>
          <w:rFonts w:ascii="Times New Roman" w:hAnsi="Times New Roman"/>
          <w:sz w:val="28"/>
          <w:szCs w:val="28"/>
          <w:lang w:eastAsia="ru-RU"/>
        </w:rPr>
        <w:t xml:space="preserve"> % - </w:t>
      </w:r>
      <w:r w:rsidR="00000BB8">
        <w:rPr>
          <w:rFonts w:ascii="Times New Roman" w:hAnsi="Times New Roman"/>
          <w:sz w:val="28"/>
          <w:szCs w:val="28"/>
          <w:lang w:eastAsia="ru-RU"/>
        </w:rPr>
        <w:t>2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0,0 % исполнены расходы  по </w:t>
      </w:r>
      <w:r w:rsidR="00000BB8">
        <w:rPr>
          <w:rFonts w:ascii="Times New Roman" w:hAnsi="Times New Roman"/>
          <w:sz w:val="28"/>
          <w:szCs w:val="28"/>
          <w:lang w:eastAsia="ru-RU"/>
        </w:rPr>
        <w:t>1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00BB8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80744">
        <w:rPr>
          <w:rFonts w:ascii="Times New Roman" w:hAnsi="Times New Roman"/>
          <w:sz w:val="28"/>
          <w:szCs w:val="28"/>
          <w:lang w:eastAsia="ru-RU"/>
        </w:rPr>
        <w:t>(</w:t>
      </w:r>
      <w:r w:rsidR="00000BB8">
        <w:rPr>
          <w:rFonts w:ascii="Times New Roman" w:hAnsi="Times New Roman"/>
          <w:sz w:val="28"/>
          <w:szCs w:val="28"/>
          <w:lang w:eastAsia="ru-RU"/>
        </w:rPr>
        <w:t>7,1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</w:t>
      </w:r>
      <w:r w:rsidR="00000BB8">
        <w:rPr>
          <w:rFonts w:ascii="Times New Roman" w:hAnsi="Times New Roman"/>
          <w:sz w:val="28"/>
          <w:szCs w:val="28"/>
          <w:lang w:eastAsia="ru-RU"/>
        </w:rPr>
        <w:t>20,1 % - 5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0,0 % по </w:t>
      </w:r>
      <w:r w:rsidR="00000BB8">
        <w:rPr>
          <w:rFonts w:ascii="Times New Roman" w:hAnsi="Times New Roman"/>
          <w:sz w:val="28"/>
          <w:szCs w:val="28"/>
          <w:lang w:eastAsia="ru-RU"/>
        </w:rPr>
        <w:t>9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000BB8">
        <w:rPr>
          <w:rFonts w:ascii="Times New Roman" w:hAnsi="Times New Roman"/>
          <w:sz w:val="28"/>
          <w:szCs w:val="28"/>
          <w:lang w:eastAsia="ru-RU"/>
        </w:rPr>
        <w:t>64,3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</w:t>
      </w:r>
      <w:r w:rsidR="00000BB8">
        <w:rPr>
          <w:rFonts w:ascii="Times New Roman" w:hAnsi="Times New Roman"/>
          <w:sz w:val="28"/>
          <w:szCs w:val="28"/>
          <w:lang w:eastAsia="ru-RU"/>
        </w:rPr>
        <w:t>о количества), на уровне более 5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0,1 %  по </w:t>
      </w:r>
      <w:r w:rsidR="00000BB8">
        <w:rPr>
          <w:rFonts w:ascii="Times New Roman" w:hAnsi="Times New Roman"/>
          <w:sz w:val="28"/>
          <w:szCs w:val="28"/>
          <w:lang w:eastAsia="ru-RU"/>
        </w:rPr>
        <w:t>4</w:t>
      </w:r>
      <w:r w:rsidR="002B7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0744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2B7859">
        <w:rPr>
          <w:rFonts w:ascii="Times New Roman" w:hAnsi="Times New Roman"/>
          <w:sz w:val="28"/>
          <w:szCs w:val="28"/>
          <w:lang w:eastAsia="ru-RU"/>
        </w:rPr>
        <w:t>ам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00BB8">
        <w:rPr>
          <w:rFonts w:ascii="Times New Roman" w:hAnsi="Times New Roman"/>
          <w:sz w:val="28"/>
          <w:szCs w:val="28"/>
          <w:lang w:eastAsia="ru-RU"/>
        </w:rPr>
        <w:t>28,6</w:t>
      </w:r>
      <w:r w:rsidRPr="00280744">
        <w:rPr>
          <w:rFonts w:ascii="Times New Roman" w:hAnsi="Times New Roman"/>
          <w:sz w:val="28"/>
          <w:szCs w:val="28"/>
          <w:lang w:eastAsia="ru-RU"/>
        </w:rPr>
        <w:t xml:space="preserve"> % общего количества).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За отчетный период исполнение расходов ниже средне</w:t>
      </w:r>
      <w:r w:rsidR="00D85611">
        <w:rPr>
          <w:rFonts w:ascii="Times New Roman" w:hAnsi="Times New Roman"/>
          <w:sz w:val="28"/>
          <w:szCs w:val="28"/>
          <w:lang w:eastAsia="ru-RU"/>
        </w:rPr>
        <w:t>го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DE619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611">
        <w:rPr>
          <w:rFonts w:ascii="Times New Roman" w:hAnsi="Times New Roman"/>
          <w:sz w:val="28"/>
          <w:szCs w:val="28"/>
          <w:lang w:eastAsia="ru-RU"/>
        </w:rPr>
        <w:t>округ</w:t>
      </w:r>
      <w:r w:rsidR="00DE6191">
        <w:rPr>
          <w:rFonts w:ascii="Times New Roman" w:hAnsi="Times New Roman"/>
          <w:sz w:val="28"/>
          <w:szCs w:val="28"/>
          <w:lang w:eastAsia="ru-RU"/>
        </w:rPr>
        <w:t>у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сложилось по 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BB8">
        <w:rPr>
          <w:rFonts w:ascii="Times New Roman" w:hAnsi="Times New Roman"/>
          <w:sz w:val="28"/>
          <w:szCs w:val="28"/>
          <w:lang w:eastAsia="ru-RU"/>
        </w:rPr>
        <w:t>8</w:t>
      </w:r>
      <w:r w:rsidR="00D85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программам (менее </w:t>
      </w:r>
      <w:r w:rsidR="00000BB8">
        <w:rPr>
          <w:rFonts w:ascii="Times New Roman" w:hAnsi="Times New Roman"/>
          <w:sz w:val="28"/>
          <w:szCs w:val="28"/>
          <w:lang w:eastAsia="ru-RU"/>
        </w:rPr>
        <w:t>47,8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%). По </w:t>
      </w:r>
      <w:r w:rsidR="00000BB8">
        <w:rPr>
          <w:rFonts w:ascii="Times New Roman" w:hAnsi="Times New Roman"/>
          <w:sz w:val="28"/>
          <w:szCs w:val="28"/>
          <w:lang w:eastAsia="ru-RU"/>
        </w:rPr>
        <w:t>1</w:t>
      </w:r>
      <w:r w:rsidR="00BE4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9D3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000BB8">
        <w:rPr>
          <w:rFonts w:ascii="Times New Roman" w:hAnsi="Times New Roman"/>
          <w:sz w:val="28"/>
          <w:szCs w:val="28"/>
          <w:lang w:eastAsia="ru-RU"/>
        </w:rPr>
        <w:t>е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исполнение составило менее </w:t>
      </w:r>
      <w:r w:rsidR="00000BB8">
        <w:rPr>
          <w:rFonts w:ascii="Times New Roman" w:hAnsi="Times New Roman"/>
          <w:sz w:val="28"/>
          <w:szCs w:val="28"/>
          <w:lang w:eastAsia="ru-RU"/>
        </w:rPr>
        <w:t>20</w:t>
      </w:r>
      <w:r w:rsidRPr="00E649D3">
        <w:rPr>
          <w:rFonts w:ascii="Times New Roman" w:hAnsi="Times New Roman"/>
          <w:sz w:val="28"/>
          <w:szCs w:val="28"/>
          <w:lang w:eastAsia="ru-RU"/>
        </w:rPr>
        <w:t>%: «</w:t>
      </w:r>
      <w:r w:rsidR="00000BB8" w:rsidRPr="00000BB8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="00BE4095" w:rsidRPr="00BE4095">
        <w:rPr>
          <w:rFonts w:ascii="Times New Roman" w:hAnsi="Times New Roman"/>
          <w:sz w:val="28"/>
          <w:szCs w:val="28"/>
          <w:lang w:eastAsia="ru-RU"/>
        </w:rPr>
        <w:t>»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00BB8">
        <w:rPr>
          <w:rFonts w:ascii="Times New Roman" w:hAnsi="Times New Roman"/>
          <w:sz w:val="28"/>
          <w:szCs w:val="28"/>
          <w:lang w:eastAsia="ru-RU"/>
        </w:rPr>
        <w:t>0,03</w:t>
      </w:r>
      <w:r w:rsidRPr="00E649D3">
        <w:rPr>
          <w:rFonts w:ascii="Times New Roman" w:hAnsi="Times New Roman"/>
          <w:sz w:val="28"/>
          <w:szCs w:val="28"/>
          <w:lang w:eastAsia="ru-RU"/>
        </w:rPr>
        <w:t>% показателя сводной росписи (в аналогичном периоде 202</w:t>
      </w:r>
      <w:r w:rsidR="00BE4095">
        <w:rPr>
          <w:rFonts w:ascii="Times New Roman" w:hAnsi="Times New Roman"/>
          <w:sz w:val="28"/>
          <w:szCs w:val="28"/>
          <w:lang w:eastAsia="ru-RU"/>
        </w:rPr>
        <w:t>1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000BB8">
        <w:rPr>
          <w:rFonts w:ascii="Times New Roman" w:hAnsi="Times New Roman"/>
          <w:sz w:val="28"/>
          <w:szCs w:val="28"/>
          <w:lang w:eastAsia="ru-RU"/>
        </w:rPr>
        <w:t>расходов не осуществлялось)</w:t>
      </w:r>
      <w:r w:rsidRPr="00E649D3">
        <w:rPr>
          <w:rFonts w:ascii="Times New Roman" w:hAnsi="Times New Roman"/>
          <w:sz w:val="28"/>
          <w:szCs w:val="28"/>
          <w:lang w:eastAsia="ru-RU"/>
        </w:rPr>
        <w:t>.</w:t>
      </w:r>
    </w:p>
    <w:p w:rsidR="00E649D3" w:rsidRP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9D3" w:rsidRDefault="00E649D3" w:rsidP="00E649D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9D3">
        <w:rPr>
          <w:rFonts w:ascii="Times New Roman" w:hAnsi="Times New Roman"/>
          <w:sz w:val="28"/>
          <w:szCs w:val="28"/>
          <w:lang w:eastAsia="ru-RU"/>
        </w:rPr>
        <w:t>Низкий процент кассового исполнения по указанн</w:t>
      </w:r>
      <w:r w:rsidR="00000BB8">
        <w:rPr>
          <w:rFonts w:ascii="Times New Roman" w:hAnsi="Times New Roman"/>
          <w:sz w:val="28"/>
          <w:szCs w:val="28"/>
          <w:lang w:eastAsia="ru-RU"/>
        </w:rPr>
        <w:t>ой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00BB8">
        <w:rPr>
          <w:rFonts w:ascii="Times New Roman" w:hAnsi="Times New Roman"/>
          <w:sz w:val="28"/>
          <w:szCs w:val="28"/>
          <w:lang w:eastAsia="ru-RU"/>
        </w:rPr>
        <w:t>е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в отчетном квартале обусловлен, в том числе, планированием ряда мероприятий на II</w:t>
      </w:r>
      <w:r w:rsidR="00000BB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– IV кварталы 202</w:t>
      </w:r>
      <w:r w:rsidR="002C639E">
        <w:rPr>
          <w:rFonts w:ascii="Times New Roman" w:hAnsi="Times New Roman"/>
          <w:sz w:val="28"/>
          <w:szCs w:val="28"/>
          <w:lang w:eastAsia="ru-RU"/>
        </w:rPr>
        <w:t>2</w:t>
      </w:r>
      <w:r w:rsidRPr="00E649D3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A6B58" w:rsidRDefault="00CA6B58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B58">
        <w:rPr>
          <w:rFonts w:ascii="Times New Roman" w:hAnsi="Times New Roman"/>
          <w:sz w:val="28"/>
          <w:szCs w:val="28"/>
          <w:lang w:eastAsia="ru-RU"/>
        </w:rPr>
        <w:t>В отчетном периоде предусмотрены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ассигнования на реализацию 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5 региональных проектов Ставропольского края, интегрированных в состав программ, с объемом финансирования в сумме </w:t>
      </w:r>
      <w:r w:rsidR="00F21CFC">
        <w:rPr>
          <w:rFonts w:ascii="Times New Roman" w:hAnsi="Times New Roman"/>
          <w:sz w:val="28"/>
          <w:szCs w:val="28"/>
          <w:lang w:eastAsia="ru-RU"/>
        </w:rPr>
        <w:t>116493,83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373D6">
        <w:rPr>
          <w:rFonts w:ascii="Times New Roman" w:hAnsi="Times New Roman"/>
          <w:sz w:val="28"/>
          <w:szCs w:val="28"/>
          <w:lang w:eastAsia="ru-RU"/>
        </w:rPr>
        <w:t>5,4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 w:rsidR="00A373D6">
        <w:rPr>
          <w:rFonts w:ascii="Times New Roman" w:hAnsi="Times New Roman"/>
          <w:sz w:val="28"/>
          <w:szCs w:val="28"/>
          <w:lang w:eastAsia="ru-RU"/>
        </w:rPr>
        <w:t>уменьш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F21CFC">
        <w:rPr>
          <w:rFonts w:ascii="Times New Roman" w:hAnsi="Times New Roman"/>
          <w:sz w:val="28"/>
          <w:szCs w:val="28"/>
          <w:lang w:eastAsia="ru-RU"/>
        </w:rPr>
        <w:t>5478,97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F21CFC">
        <w:rPr>
          <w:rFonts w:ascii="Times New Roman" w:hAnsi="Times New Roman"/>
          <w:sz w:val="28"/>
          <w:szCs w:val="28"/>
          <w:lang w:eastAsia="ru-RU"/>
        </w:rPr>
        <w:t>4,5</w:t>
      </w:r>
      <w:r w:rsidRPr="00CA6B58">
        <w:rPr>
          <w:rFonts w:ascii="Times New Roman" w:hAnsi="Times New Roman"/>
          <w:sz w:val="28"/>
          <w:szCs w:val="28"/>
          <w:lang w:eastAsia="ru-RU"/>
        </w:rPr>
        <w:t>% (в 202</w:t>
      </w:r>
      <w:r w:rsidR="00A373D6">
        <w:rPr>
          <w:rFonts w:ascii="Times New Roman" w:hAnsi="Times New Roman"/>
          <w:sz w:val="28"/>
          <w:szCs w:val="28"/>
          <w:lang w:eastAsia="ru-RU"/>
        </w:rPr>
        <w:t>1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F21CFC">
        <w:rPr>
          <w:rFonts w:ascii="Times New Roman" w:hAnsi="Times New Roman"/>
          <w:sz w:val="28"/>
          <w:szCs w:val="28"/>
          <w:lang w:eastAsia="ru-RU"/>
        </w:rPr>
        <w:t>121972,80</w:t>
      </w:r>
      <w:r w:rsidRPr="00CA6B58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243ACA" w:rsidRDefault="00243ACA" w:rsidP="001C5CC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ACA">
        <w:rPr>
          <w:rFonts w:ascii="Times New Roman" w:hAnsi="Times New Roman"/>
          <w:sz w:val="28"/>
          <w:szCs w:val="28"/>
          <w:lang w:eastAsia="ru-RU"/>
        </w:rPr>
        <w:t xml:space="preserve">Региональные проекты Ставропольского края направлены на реализацию </w:t>
      </w:r>
      <w:r w:rsidR="000C1FD2">
        <w:rPr>
          <w:rFonts w:ascii="Times New Roman" w:hAnsi="Times New Roman"/>
          <w:sz w:val="28"/>
          <w:szCs w:val="28"/>
          <w:lang w:eastAsia="ru-RU"/>
        </w:rPr>
        <w:t>4</w:t>
      </w:r>
      <w:r w:rsidRPr="00243ACA">
        <w:rPr>
          <w:rFonts w:ascii="Times New Roman" w:hAnsi="Times New Roman"/>
          <w:sz w:val="28"/>
          <w:szCs w:val="28"/>
          <w:lang w:eastAsia="ru-RU"/>
        </w:rPr>
        <w:t xml:space="preserve"> национальных проектов («Культура», «Образование», «Жилье и городская среда», «Демография»).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750504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региональных проектов по состоянию на 01 </w:t>
      </w:r>
      <w:r w:rsidR="00F21CFC">
        <w:rPr>
          <w:rFonts w:ascii="Times New Roman" w:hAnsi="Times New Roman"/>
          <w:sz w:val="28"/>
          <w:szCs w:val="28"/>
          <w:lang w:eastAsia="ru-RU"/>
        </w:rPr>
        <w:t>ию</w:t>
      </w:r>
      <w:r w:rsidRPr="000C1FD2">
        <w:rPr>
          <w:rFonts w:ascii="Times New Roman" w:hAnsi="Times New Roman"/>
          <w:sz w:val="28"/>
          <w:szCs w:val="28"/>
          <w:lang w:eastAsia="ru-RU"/>
        </w:rPr>
        <w:t>ля 202</w:t>
      </w:r>
      <w:r w:rsidR="00750504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F21CFC">
        <w:rPr>
          <w:rFonts w:ascii="Times New Roman" w:hAnsi="Times New Roman"/>
          <w:sz w:val="28"/>
          <w:szCs w:val="28"/>
          <w:lang w:eastAsia="ru-RU"/>
        </w:rPr>
        <w:t>52271,83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F21CFC">
        <w:rPr>
          <w:rFonts w:ascii="Times New Roman" w:hAnsi="Times New Roman"/>
          <w:sz w:val="28"/>
          <w:szCs w:val="28"/>
          <w:lang w:eastAsia="ru-RU"/>
        </w:rPr>
        <w:t>44,9</w:t>
      </w:r>
      <w:r w:rsidRPr="000C1FD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75050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года кассовое исполнение по расходам на реализацию региональных проектов </w:t>
      </w:r>
      <w:r w:rsidR="00750504">
        <w:rPr>
          <w:rFonts w:ascii="Times New Roman" w:hAnsi="Times New Roman"/>
          <w:sz w:val="28"/>
          <w:szCs w:val="28"/>
          <w:lang w:eastAsia="ru-RU"/>
        </w:rPr>
        <w:t>уменьш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F21CFC">
        <w:rPr>
          <w:rFonts w:ascii="Times New Roman" w:hAnsi="Times New Roman"/>
          <w:sz w:val="28"/>
          <w:szCs w:val="28"/>
          <w:lang w:eastAsia="ru-RU"/>
        </w:rPr>
        <w:t>74,33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C752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21CFC">
        <w:rPr>
          <w:rFonts w:ascii="Times New Roman" w:hAnsi="Times New Roman"/>
          <w:sz w:val="28"/>
          <w:szCs w:val="28"/>
          <w:lang w:eastAsia="ru-RU"/>
        </w:rPr>
        <w:t>0,1</w:t>
      </w:r>
      <w:r w:rsidR="008C7525">
        <w:rPr>
          <w:rFonts w:ascii="Times New Roman" w:hAnsi="Times New Roman"/>
          <w:sz w:val="28"/>
          <w:szCs w:val="28"/>
          <w:lang w:eastAsia="ru-RU"/>
        </w:rPr>
        <w:t>%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(за I </w:t>
      </w:r>
      <w:r w:rsidR="00F21CFC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67F4D">
        <w:rPr>
          <w:rFonts w:ascii="Times New Roman" w:hAnsi="Times New Roman"/>
          <w:sz w:val="28"/>
          <w:szCs w:val="28"/>
          <w:lang w:eastAsia="ru-RU"/>
        </w:rPr>
        <w:t>1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21CFC">
        <w:rPr>
          <w:rFonts w:ascii="Times New Roman" w:hAnsi="Times New Roman"/>
          <w:sz w:val="28"/>
          <w:szCs w:val="28"/>
          <w:lang w:eastAsia="ru-RU"/>
        </w:rPr>
        <w:t>52346,16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F21CFC">
        <w:rPr>
          <w:rFonts w:ascii="Times New Roman" w:hAnsi="Times New Roman"/>
          <w:sz w:val="28"/>
          <w:szCs w:val="28"/>
          <w:lang w:eastAsia="ru-RU"/>
        </w:rPr>
        <w:t>89</w:t>
      </w:r>
      <w:r w:rsidR="00583987">
        <w:rPr>
          <w:rFonts w:ascii="Times New Roman" w:hAnsi="Times New Roman"/>
          <w:sz w:val="28"/>
          <w:szCs w:val="28"/>
          <w:lang w:eastAsia="ru-RU"/>
        </w:rPr>
        <w:t>,0</w:t>
      </w:r>
      <w:r w:rsidRPr="000C1FD2">
        <w:rPr>
          <w:rFonts w:ascii="Times New Roman" w:hAnsi="Times New Roman"/>
          <w:sz w:val="28"/>
          <w:szCs w:val="28"/>
          <w:lang w:eastAsia="ru-RU"/>
        </w:rPr>
        <w:t>% исполненных расходов занимают расходы социальной направленности, направленные на реализацию национальн</w:t>
      </w:r>
      <w:r w:rsidR="00583987">
        <w:rPr>
          <w:rFonts w:ascii="Times New Roman" w:hAnsi="Times New Roman"/>
          <w:sz w:val="28"/>
          <w:szCs w:val="28"/>
          <w:lang w:eastAsia="ru-RU"/>
        </w:rPr>
        <w:t>ого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583987">
        <w:rPr>
          <w:rFonts w:ascii="Times New Roman" w:hAnsi="Times New Roman"/>
          <w:sz w:val="28"/>
          <w:szCs w:val="28"/>
          <w:lang w:eastAsia="ru-RU"/>
        </w:rPr>
        <w:t>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«Демография» </w:t>
      </w:r>
      <w:r w:rsidR="00583987">
        <w:rPr>
          <w:rFonts w:ascii="Times New Roman" w:hAnsi="Times New Roman"/>
          <w:sz w:val="28"/>
          <w:szCs w:val="28"/>
          <w:lang w:eastAsia="ru-RU"/>
        </w:rPr>
        <w:t>- 92,3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F21CFC">
        <w:rPr>
          <w:rFonts w:ascii="Times New Roman" w:hAnsi="Times New Roman"/>
          <w:sz w:val="28"/>
          <w:szCs w:val="28"/>
          <w:lang w:eastAsia="ru-RU"/>
        </w:rPr>
        <w:t>46797,50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0C1FD2" w:rsidRP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DE324D">
        <w:rPr>
          <w:rFonts w:ascii="Times New Roman" w:hAnsi="Times New Roman"/>
          <w:sz w:val="28"/>
          <w:szCs w:val="28"/>
          <w:lang w:eastAsia="ru-RU"/>
        </w:rPr>
        <w:t>.0</w:t>
      </w:r>
      <w:r w:rsidR="00F21CFC">
        <w:rPr>
          <w:rFonts w:ascii="Times New Roman" w:hAnsi="Times New Roman"/>
          <w:sz w:val="28"/>
          <w:szCs w:val="28"/>
          <w:lang w:eastAsia="ru-RU"/>
        </w:rPr>
        <w:t>7</w:t>
      </w:r>
      <w:r w:rsidR="00DE324D">
        <w:rPr>
          <w:rFonts w:ascii="Times New Roman" w:hAnsi="Times New Roman"/>
          <w:sz w:val="28"/>
          <w:szCs w:val="28"/>
          <w:lang w:eastAsia="ru-RU"/>
        </w:rPr>
        <w:t>.</w:t>
      </w:r>
      <w:r w:rsidRPr="000C1FD2">
        <w:rPr>
          <w:rFonts w:ascii="Times New Roman" w:hAnsi="Times New Roman"/>
          <w:sz w:val="28"/>
          <w:szCs w:val="28"/>
          <w:lang w:eastAsia="ru-RU"/>
        </w:rPr>
        <w:t>202</w:t>
      </w:r>
      <w:r w:rsidR="00583987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года исполнение расходов ниже средне</w:t>
      </w:r>
      <w:r w:rsidR="00ED25F1">
        <w:rPr>
          <w:rFonts w:ascii="Times New Roman" w:hAnsi="Times New Roman"/>
          <w:sz w:val="28"/>
          <w:szCs w:val="28"/>
          <w:lang w:eastAsia="ru-RU"/>
        </w:rPr>
        <w:t>го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уровня </w:t>
      </w:r>
      <w:r w:rsidR="00ED25F1">
        <w:rPr>
          <w:rFonts w:ascii="Times New Roman" w:hAnsi="Times New Roman"/>
          <w:sz w:val="28"/>
          <w:szCs w:val="28"/>
          <w:lang w:eastAsia="ru-RU"/>
        </w:rPr>
        <w:t xml:space="preserve">по округу </w:t>
      </w:r>
      <w:r w:rsidR="006277DB">
        <w:rPr>
          <w:rFonts w:ascii="Times New Roman" w:hAnsi="Times New Roman"/>
          <w:sz w:val="28"/>
          <w:szCs w:val="28"/>
          <w:lang w:eastAsia="ru-RU"/>
        </w:rPr>
        <w:t xml:space="preserve">(менее </w:t>
      </w:r>
      <w:r w:rsidR="007C00CF">
        <w:rPr>
          <w:rFonts w:ascii="Times New Roman" w:hAnsi="Times New Roman"/>
          <w:sz w:val="28"/>
          <w:szCs w:val="28"/>
          <w:lang w:eastAsia="ru-RU"/>
        </w:rPr>
        <w:t>44,9</w:t>
      </w:r>
      <w:r w:rsidR="006277DB">
        <w:rPr>
          <w:rFonts w:ascii="Times New Roman" w:hAnsi="Times New Roman"/>
          <w:sz w:val="28"/>
          <w:szCs w:val="28"/>
          <w:lang w:eastAsia="ru-RU"/>
        </w:rPr>
        <w:t>%) сложилось по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</w:t>
      </w:r>
      <w:r w:rsidR="008235AE">
        <w:rPr>
          <w:rFonts w:ascii="Times New Roman" w:hAnsi="Times New Roman"/>
          <w:sz w:val="28"/>
          <w:szCs w:val="28"/>
          <w:lang w:eastAsia="ru-RU"/>
        </w:rPr>
        <w:t>ому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8235A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8235AE" w:rsidRPr="008235AE">
        <w:rPr>
          <w:rFonts w:ascii="Times New Roman" w:hAnsi="Times New Roman"/>
          <w:sz w:val="28"/>
          <w:szCs w:val="28"/>
          <w:lang w:eastAsia="ru-RU"/>
        </w:rPr>
        <w:t xml:space="preserve">«Современная школа» (кассовое исполнение составило </w:t>
      </w:r>
      <w:r w:rsidR="007C00CF">
        <w:rPr>
          <w:rFonts w:ascii="Times New Roman" w:hAnsi="Times New Roman"/>
          <w:sz w:val="28"/>
          <w:szCs w:val="28"/>
          <w:lang w:eastAsia="ru-RU"/>
        </w:rPr>
        <w:t>5423,83</w:t>
      </w:r>
      <w:r w:rsidR="008235AE" w:rsidRPr="008235AE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7C00CF">
        <w:rPr>
          <w:rFonts w:ascii="Times New Roman" w:hAnsi="Times New Roman"/>
          <w:sz w:val="28"/>
          <w:szCs w:val="28"/>
          <w:lang w:eastAsia="ru-RU"/>
        </w:rPr>
        <w:t>35,8</w:t>
      </w:r>
      <w:r w:rsidR="008235AE" w:rsidRPr="008235AE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росписи)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, при этом по </w:t>
      </w:r>
      <w:r w:rsidR="0051592E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кассовое исполнение не осуществлялось, из них по региональным проектам: </w:t>
      </w:r>
      <w:proofErr w:type="gramStart"/>
      <w:r w:rsidRPr="000C1FD2">
        <w:rPr>
          <w:rFonts w:ascii="Times New Roman" w:hAnsi="Times New Roman"/>
          <w:sz w:val="28"/>
          <w:szCs w:val="28"/>
          <w:lang w:eastAsia="ru-RU"/>
        </w:rPr>
        <w:t>«</w:t>
      </w:r>
      <w:r w:rsidR="0051592E">
        <w:rPr>
          <w:rFonts w:ascii="Times New Roman" w:hAnsi="Times New Roman"/>
          <w:sz w:val="28"/>
          <w:szCs w:val="28"/>
          <w:lang w:eastAsia="ru-RU"/>
        </w:rPr>
        <w:t>Успех каждого ребенка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CC5340">
        <w:rPr>
          <w:rFonts w:ascii="Times New Roman" w:hAnsi="Times New Roman"/>
          <w:sz w:val="28"/>
          <w:szCs w:val="28"/>
          <w:lang w:eastAsia="ru-RU"/>
        </w:rPr>
        <w:t>1447,37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рублей), «</w:t>
      </w:r>
      <w:r w:rsidR="00CC5340">
        <w:rPr>
          <w:rFonts w:ascii="Times New Roman" w:hAnsi="Times New Roman"/>
          <w:sz w:val="28"/>
          <w:szCs w:val="28"/>
          <w:lang w:eastAsia="ru-RU"/>
        </w:rPr>
        <w:t>Формирование комфортной городской среды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» (план – </w:t>
      </w:r>
      <w:r w:rsidR="00CC5340">
        <w:rPr>
          <w:rFonts w:ascii="Times New Roman" w:hAnsi="Times New Roman"/>
          <w:sz w:val="28"/>
          <w:szCs w:val="28"/>
          <w:lang w:eastAsia="ru-RU"/>
        </w:rPr>
        <w:t>22005,04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0C1FD2" w:rsidRDefault="000C1FD2" w:rsidP="000C1FD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FD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D25F1">
        <w:rPr>
          <w:rFonts w:ascii="Times New Roman" w:hAnsi="Times New Roman"/>
          <w:sz w:val="28"/>
          <w:szCs w:val="28"/>
          <w:lang w:eastAsia="ru-RU"/>
        </w:rPr>
        <w:t>2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исполнение расходов за отчетный период  превысило 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>средн</w:t>
      </w:r>
      <w:r w:rsidR="00290D85">
        <w:rPr>
          <w:rFonts w:ascii="Times New Roman" w:hAnsi="Times New Roman"/>
          <w:sz w:val="28"/>
          <w:szCs w:val="28"/>
          <w:lang w:eastAsia="ru-RU"/>
        </w:rPr>
        <w:t>ий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 w:rsidR="00290D85">
        <w:rPr>
          <w:rFonts w:ascii="Times New Roman" w:hAnsi="Times New Roman"/>
          <w:sz w:val="28"/>
          <w:szCs w:val="28"/>
          <w:lang w:eastAsia="ru-RU"/>
        </w:rPr>
        <w:t>ень</w:t>
      </w:r>
      <w:r w:rsidR="00290D85" w:rsidRPr="00290D85">
        <w:rPr>
          <w:rFonts w:ascii="Times New Roman" w:hAnsi="Times New Roman"/>
          <w:sz w:val="28"/>
          <w:szCs w:val="28"/>
          <w:lang w:eastAsia="ru-RU"/>
        </w:rPr>
        <w:t xml:space="preserve"> по округу </w:t>
      </w:r>
      <w:r w:rsidRPr="000C1FD2">
        <w:rPr>
          <w:rFonts w:ascii="Times New Roman" w:hAnsi="Times New Roman"/>
          <w:sz w:val="28"/>
          <w:szCs w:val="28"/>
          <w:lang w:eastAsia="ru-RU"/>
        </w:rPr>
        <w:t>(</w:t>
      </w:r>
      <w:r w:rsidR="007C00CF">
        <w:rPr>
          <w:rFonts w:ascii="Times New Roman" w:hAnsi="Times New Roman"/>
          <w:sz w:val="28"/>
          <w:szCs w:val="28"/>
          <w:lang w:eastAsia="ru-RU"/>
        </w:rPr>
        <w:t>44,9</w:t>
      </w:r>
      <w:r w:rsidRPr="000C1FD2">
        <w:rPr>
          <w:rFonts w:ascii="Times New Roman" w:hAnsi="Times New Roman"/>
          <w:sz w:val="28"/>
          <w:szCs w:val="28"/>
          <w:lang w:eastAsia="ru-RU"/>
        </w:rPr>
        <w:t>%), в том числе: «</w:t>
      </w:r>
      <w:r w:rsidR="00626199">
        <w:rPr>
          <w:rFonts w:ascii="Times New Roman" w:hAnsi="Times New Roman"/>
          <w:sz w:val="28"/>
          <w:szCs w:val="28"/>
          <w:lang w:eastAsia="ru-RU"/>
        </w:rPr>
        <w:t>Финансовая поддержка семей при рождении детей</w:t>
      </w:r>
      <w:r w:rsidRPr="000C1FD2">
        <w:rPr>
          <w:rFonts w:ascii="Times New Roman" w:hAnsi="Times New Roman"/>
          <w:sz w:val="28"/>
          <w:szCs w:val="28"/>
          <w:lang w:eastAsia="ru-RU"/>
        </w:rPr>
        <w:t>» (</w:t>
      </w:r>
      <w:r w:rsidR="007C00CF">
        <w:rPr>
          <w:rFonts w:ascii="Times New Roman" w:hAnsi="Times New Roman"/>
          <w:sz w:val="28"/>
          <w:szCs w:val="28"/>
          <w:lang w:eastAsia="ru-RU"/>
        </w:rPr>
        <w:t>46797,50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7C00CF">
        <w:rPr>
          <w:rFonts w:ascii="Times New Roman" w:hAnsi="Times New Roman"/>
          <w:sz w:val="28"/>
          <w:szCs w:val="28"/>
          <w:lang w:eastAsia="ru-RU"/>
        </w:rPr>
        <w:t>59,7</w:t>
      </w:r>
      <w:r w:rsidRPr="000C1FD2">
        <w:rPr>
          <w:rFonts w:ascii="Times New Roman" w:hAnsi="Times New Roman"/>
          <w:sz w:val="28"/>
          <w:szCs w:val="28"/>
          <w:lang w:eastAsia="ru-RU"/>
        </w:rPr>
        <w:t>%), «</w:t>
      </w:r>
      <w:r w:rsidR="00626199">
        <w:rPr>
          <w:rFonts w:ascii="Times New Roman" w:hAnsi="Times New Roman"/>
          <w:sz w:val="28"/>
          <w:szCs w:val="28"/>
          <w:lang w:eastAsia="ru-RU"/>
        </w:rPr>
        <w:t>Творческие люди</w:t>
      </w:r>
      <w:r w:rsidRPr="000C1FD2">
        <w:rPr>
          <w:rFonts w:ascii="Times New Roman" w:hAnsi="Times New Roman"/>
          <w:sz w:val="28"/>
          <w:szCs w:val="28"/>
          <w:lang w:eastAsia="ru-RU"/>
        </w:rPr>
        <w:t>» (</w:t>
      </w:r>
      <w:r w:rsidR="00CB4803">
        <w:rPr>
          <w:rFonts w:ascii="Times New Roman" w:hAnsi="Times New Roman"/>
          <w:sz w:val="28"/>
          <w:szCs w:val="28"/>
          <w:lang w:eastAsia="ru-RU"/>
        </w:rPr>
        <w:t>50,51</w:t>
      </w:r>
      <w:r w:rsidRPr="000C1FD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B4803">
        <w:rPr>
          <w:rFonts w:ascii="Times New Roman" w:hAnsi="Times New Roman"/>
          <w:sz w:val="28"/>
          <w:szCs w:val="28"/>
          <w:lang w:eastAsia="ru-RU"/>
        </w:rPr>
        <w:t>100,0%)</w:t>
      </w:r>
      <w:r w:rsidRPr="000C1FD2">
        <w:rPr>
          <w:rFonts w:ascii="Times New Roman" w:hAnsi="Times New Roman"/>
          <w:sz w:val="28"/>
          <w:szCs w:val="28"/>
          <w:lang w:eastAsia="ru-RU"/>
        </w:rPr>
        <w:t>.</w:t>
      </w:r>
    </w:p>
    <w:p w:rsidR="004610BF" w:rsidRDefault="004610BF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о местном бюджете </w:t>
      </w:r>
      <w:r w:rsidR="00B6791B">
        <w:rPr>
          <w:rFonts w:ascii="Times New Roman" w:hAnsi="Times New Roman"/>
          <w:sz w:val="28"/>
          <w:szCs w:val="28"/>
          <w:lang w:eastAsia="ru-RU"/>
        </w:rPr>
        <w:t>бюджетные ассигнования на осуществление непрограммных направлений деятельности на 20</w:t>
      </w:r>
      <w:r w:rsidR="005341AB">
        <w:rPr>
          <w:rFonts w:ascii="Times New Roman" w:hAnsi="Times New Roman"/>
          <w:sz w:val="28"/>
          <w:szCs w:val="28"/>
          <w:lang w:eastAsia="ru-RU"/>
        </w:rPr>
        <w:t>2</w:t>
      </w:r>
      <w:r w:rsidR="006277DB">
        <w:rPr>
          <w:rFonts w:ascii="Times New Roman" w:hAnsi="Times New Roman"/>
          <w:sz w:val="28"/>
          <w:szCs w:val="28"/>
          <w:lang w:eastAsia="ru-RU"/>
        </w:rPr>
        <w:t>2</w:t>
      </w:r>
      <w:r w:rsidR="00B6791B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</w:t>
      </w:r>
      <w:r w:rsidR="005A2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1E4">
        <w:rPr>
          <w:rFonts w:ascii="Times New Roman" w:hAnsi="Times New Roman"/>
          <w:sz w:val="28"/>
          <w:szCs w:val="28"/>
          <w:lang w:eastAsia="ru-RU"/>
        </w:rPr>
        <w:t>трем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направлениям. 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7C00CF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A31634">
        <w:rPr>
          <w:rFonts w:ascii="Times New Roman" w:hAnsi="Times New Roman"/>
          <w:sz w:val="28"/>
          <w:szCs w:val="28"/>
          <w:lang w:eastAsia="ru-RU"/>
        </w:rPr>
        <w:t>20</w:t>
      </w:r>
      <w:r w:rsidR="00210EFC">
        <w:rPr>
          <w:rFonts w:ascii="Times New Roman" w:hAnsi="Times New Roman"/>
          <w:sz w:val="28"/>
          <w:szCs w:val="28"/>
          <w:lang w:eastAsia="ru-RU"/>
        </w:rPr>
        <w:t>2</w:t>
      </w:r>
      <w:r w:rsidR="00A47595">
        <w:rPr>
          <w:rFonts w:ascii="Times New Roman" w:hAnsi="Times New Roman"/>
          <w:sz w:val="28"/>
          <w:szCs w:val="28"/>
          <w:lang w:eastAsia="ru-RU"/>
        </w:rPr>
        <w:t>2</w:t>
      </w:r>
      <w:r w:rsidR="00A31634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изменениями) предусмотрены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E351B7">
        <w:rPr>
          <w:rFonts w:ascii="Times New Roman" w:hAnsi="Times New Roman"/>
          <w:sz w:val="28"/>
          <w:szCs w:val="28"/>
          <w:lang w:eastAsia="ru-RU"/>
        </w:rPr>
        <w:t>22291,59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E351B7">
        <w:rPr>
          <w:rFonts w:ascii="Times New Roman" w:hAnsi="Times New Roman"/>
          <w:sz w:val="28"/>
          <w:szCs w:val="28"/>
          <w:lang w:eastAsia="ru-RU"/>
        </w:rPr>
        <w:t>1,0</w:t>
      </w:r>
      <w:r w:rsidR="0046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7BB">
        <w:rPr>
          <w:rFonts w:ascii="Times New Roman" w:hAnsi="Times New Roman"/>
          <w:sz w:val="28"/>
          <w:szCs w:val="28"/>
          <w:lang w:eastAsia="ru-RU"/>
        </w:rPr>
        <w:t>% общего объема расходов местного бюджета.</w:t>
      </w:r>
    </w:p>
    <w:p w:rsidR="00756535" w:rsidRDefault="00756535" w:rsidP="00496C7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535">
        <w:rPr>
          <w:rFonts w:ascii="Times New Roman" w:hAnsi="Times New Roman"/>
          <w:sz w:val="28"/>
          <w:szCs w:val="28"/>
          <w:lang w:eastAsia="ru-RU"/>
        </w:rPr>
        <w:t xml:space="preserve">В структуре непрограммных расходов наибольший объем бюджетных ассигнований запланирован на </w:t>
      </w:r>
      <w:r w:rsidR="00CC23DE">
        <w:rPr>
          <w:rFonts w:ascii="Times New Roman" w:hAnsi="Times New Roman"/>
          <w:sz w:val="28"/>
          <w:szCs w:val="28"/>
          <w:lang w:eastAsia="ru-RU"/>
        </w:rPr>
        <w:t>иные непрограммные расходы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351B7">
        <w:rPr>
          <w:rFonts w:ascii="Times New Roman" w:hAnsi="Times New Roman"/>
          <w:sz w:val="28"/>
          <w:szCs w:val="28"/>
          <w:lang w:eastAsia="ru-RU"/>
        </w:rPr>
        <w:t>12407,87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51B7">
        <w:rPr>
          <w:rFonts w:ascii="Times New Roman" w:hAnsi="Times New Roman"/>
          <w:sz w:val="28"/>
          <w:szCs w:val="28"/>
          <w:lang w:eastAsia="ru-RU"/>
        </w:rPr>
        <w:t>55,</w:t>
      </w:r>
      <w:r w:rsidR="0074323D">
        <w:rPr>
          <w:rFonts w:ascii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7E1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% от предусмотренного объема непрограммных расходов). </w:t>
      </w:r>
      <w:r w:rsidRPr="007565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Объем средств, предусмотренный по </w:t>
      </w:r>
      <w:r w:rsidR="00F709E9">
        <w:rPr>
          <w:rFonts w:ascii="Times New Roman" w:hAnsi="Times New Roman"/>
          <w:sz w:val="28"/>
          <w:szCs w:val="28"/>
          <w:lang w:eastAsia="ru-RU"/>
        </w:rPr>
        <w:t>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главным распорядителям на обеспечение деятельности органов</w:t>
      </w:r>
      <w:r w:rsidR="00CC23DE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Ипатовского городского округа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составил </w:t>
      </w:r>
      <w:r w:rsidR="00BB11DD">
        <w:rPr>
          <w:rFonts w:ascii="Times New Roman" w:hAnsi="Times New Roman"/>
          <w:sz w:val="28"/>
          <w:szCs w:val="28"/>
          <w:lang w:eastAsia="ru-RU"/>
        </w:rPr>
        <w:t>9883,72</w:t>
      </w:r>
      <w:r w:rsidRPr="0075653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B11DD">
        <w:rPr>
          <w:rFonts w:ascii="Times New Roman" w:hAnsi="Times New Roman"/>
          <w:sz w:val="28"/>
          <w:szCs w:val="28"/>
          <w:lang w:eastAsia="ru-RU"/>
        </w:rPr>
        <w:t>44,3</w:t>
      </w:r>
      <w:r w:rsidRPr="00756535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:rsidR="00B86974" w:rsidRPr="00B86974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E351B7">
        <w:rPr>
          <w:rFonts w:ascii="Times New Roman" w:hAnsi="Times New Roman"/>
          <w:sz w:val="28"/>
          <w:szCs w:val="28"/>
          <w:lang w:eastAsia="ru-RU"/>
        </w:rPr>
        <w:t>5417,13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51B7">
        <w:rPr>
          <w:rFonts w:ascii="Times New Roman" w:hAnsi="Times New Roman"/>
          <w:sz w:val="28"/>
          <w:szCs w:val="28"/>
          <w:lang w:eastAsia="ru-RU"/>
        </w:rPr>
        <w:t>24,3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BF6B22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</w:t>
      </w:r>
      <w:r w:rsidR="00BF6B22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BF6B22">
        <w:rPr>
          <w:rFonts w:ascii="Times New Roman" w:hAnsi="Times New Roman"/>
          <w:sz w:val="28"/>
          <w:szCs w:val="28"/>
          <w:lang w:eastAsia="ru-RU"/>
        </w:rPr>
        <w:t>уменьшил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ось на </w:t>
      </w:r>
      <w:r w:rsidR="00742175">
        <w:rPr>
          <w:rFonts w:ascii="Times New Roman" w:hAnsi="Times New Roman"/>
          <w:sz w:val="28"/>
          <w:szCs w:val="28"/>
          <w:lang w:eastAsia="ru-RU"/>
        </w:rPr>
        <w:t>189,93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42175">
        <w:rPr>
          <w:rFonts w:ascii="Times New Roman" w:hAnsi="Times New Roman"/>
          <w:sz w:val="28"/>
          <w:szCs w:val="28"/>
          <w:lang w:eastAsia="ru-RU"/>
        </w:rPr>
        <w:t>9,2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% (за I </w:t>
      </w:r>
      <w:r w:rsidR="00E351B7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F6B22">
        <w:rPr>
          <w:rFonts w:ascii="Times New Roman" w:hAnsi="Times New Roman"/>
          <w:sz w:val="28"/>
          <w:szCs w:val="28"/>
          <w:lang w:eastAsia="ru-RU"/>
        </w:rPr>
        <w:t>1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F6B22">
        <w:rPr>
          <w:rFonts w:ascii="Times New Roman" w:hAnsi="Times New Roman"/>
          <w:sz w:val="28"/>
          <w:szCs w:val="28"/>
          <w:lang w:eastAsia="ru-RU"/>
        </w:rPr>
        <w:t>2054,35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E0ECD" w:rsidRDefault="00B86974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974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</w:t>
      </w:r>
      <w:r w:rsidR="006916C4">
        <w:rPr>
          <w:rFonts w:ascii="Times New Roman" w:hAnsi="Times New Roman"/>
          <w:sz w:val="28"/>
          <w:szCs w:val="28"/>
          <w:lang w:eastAsia="ru-RU"/>
        </w:rPr>
        <w:t xml:space="preserve">иных непрограммных расходов 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исполнены в объеме </w:t>
      </w:r>
      <w:r w:rsidR="00E351B7">
        <w:rPr>
          <w:rFonts w:ascii="Times New Roman" w:hAnsi="Times New Roman"/>
          <w:sz w:val="28"/>
          <w:szCs w:val="28"/>
          <w:lang w:eastAsia="ru-RU"/>
        </w:rPr>
        <w:t>857,47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51B7">
        <w:rPr>
          <w:rFonts w:ascii="Times New Roman" w:hAnsi="Times New Roman"/>
          <w:sz w:val="28"/>
          <w:szCs w:val="28"/>
          <w:lang w:eastAsia="ru-RU"/>
        </w:rPr>
        <w:t>6,9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% к плановым показателям. Объем расходов на обеспечение деятельности </w:t>
      </w:r>
      <w:r w:rsidR="00052EB5" w:rsidRPr="00052EB5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Ипатовского городского округа Ставропольского края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E351B7">
        <w:rPr>
          <w:rFonts w:ascii="Times New Roman" w:hAnsi="Times New Roman"/>
          <w:sz w:val="28"/>
          <w:szCs w:val="28"/>
          <w:lang w:eastAsia="ru-RU"/>
        </w:rPr>
        <w:t>4559,66</w:t>
      </w:r>
      <w:r w:rsidRPr="00B869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B11DD">
        <w:rPr>
          <w:rFonts w:ascii="Times New Roman" w:hAnsi="Times New Roman"/>
          <w:sz w:val="28"/>
          <w:szCs w:val="28"/>
          <w:lang w:eastAsia="ru-RU"/>
        </w:rPr>
        <w:t>46,1</w:t>
      </w:r>
      <w:r w:rsidRPr="00B86974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Ипатовского городского округа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Ипатовского городского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2023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BB11DD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1A7F8A"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2544C6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1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1DD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7F8A">
        <w:rPr>
          <w:rFonts w:ascii="Times New Roman" w:hAnsi="Times New Roman"/>
          <w:sz w:val="28"/>
          <w:szCs w:val="28"/>
          <w:lang w:eastAsia="ru-RU"/>
        </w:rPr>
        <w:t>2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превышением </w:t>
      </w:r>
      <w:r w:rsidR="00BB11DD">
        <w:rPr>
          <w:rFonts w:ascii="Times New Roman" w:hAnsi="Times New Roman"/>
          <w:sz w:val="28"/>
          <w:szCs w:val="28"/>
          <w:lang w:eastAsia="ru-RU"/>
        </w:rPr>
        <w:t>рас</w:t>
      </w:r>
      <w:r w:rsidRPr="002544C6">
        <w:rPr>
          <w:rFonts w:ascii="Times New Roman" w:hAnsi="Times New Roman"/>
          <w:sz w:val="28"/>
          <w:szCs w:val="28"/>
          <w:lang w:eastAsia="ru-RU"/>
        </w:rPr>
        <w:t>ходов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1DD">
        <w:rPr>
          <w:rFonts w:ascii="Times New Roman" w:hAnsi="Times New Roman"/>
          <w:sz w:val="28"/>
          <w:szCs w:val="28"/>
          <w:lang w:eastAsia="ru-RU"/>
        </w:rPr>
        <w:t>до</w:t>
      </w:r>
      <w:r w:rsidRPr="002544C6">
        <w:rPr>
          <w:rFonts w:ascii="Times New Roman" w:hAnsi="Times New Roman"/>
          <w:sz w:val="28"/>
          <w:szCs w:val="28"/>
          <w:lang w:eastAsia="ru-RU"/>
        </w:rPr>
        <w:t>ходами (</w:t>
      </w:r>
      <w:r w:rsidR="00BB11DD">
        <w:rPr>
          <w:rFonts w:ascii="Times New Roman" w:hAnsi="Times New Roman"/>
          <w:sz w:val="28"/>
          <w:szCs w:val="28"/>
          <w:lang w:eastAsia="ru-RU"/>
        </w:rPr>
        <w:t>де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 w:rsidR="00BB11DD">
        <w:rPr>
          <w:rFonts w:ascii="Times New Roman" w:hAnsi="Times New Roman"/>
          <w:sz w:val="28"/>
          <w:szCs w:val="28"/>
          <w:lang w:eastAsia="ru-RU"/>
        </w:rPr>
        <w:t>87327,51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8017BD" w:rsidRPr="008017BD">
        <w:rPr>
          <w:rFonts w:ascii="Times New Roman" w:hAnsi="Times New Roman"/>
          <w:sz w:val="28"/>
          <w:szCs w:val="28"/>
          <w:lang w:eastAsia="ru-RU"/>
        </w:rPr>
        <w:t>229622,79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Ипатовского городского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Ипатовского городского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C94360">
        <w:rPr>
          <w:rFonts w:ascii="Times New Roman" w:hAnsi="Times New Roman"/>
          <w:sz w:val="28"/>
          <w:szCs w:val="28"/>
          <w:lang w:eastAsia="ru-RU"/>
        </w:rPr>
        <w:t>5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 и по состоянию на 01.</w:t>
      </w:r>
      <w:r w:rsidR="005944DD">
        <w:rPr>
          <w:rFonts w:ascii="Times New Roman" w:hAnsi="Times New Roman"/>
          <w:sz w:val="28"/>
          <w:szCs w:val="28"/>
          <w:lang w:eastAsia="ru-RU"/>
        </w:rPr>
        <w:t>0</w:t>
      </w:r>
      <w:r w:rsidR="00BB11DD">
        <w:rPr>
          <w:rFonts w:ascii="Times New Roman" w:hAnsi="Times New Roman"/>
          <w:sz w:val="28"/>
          <w:szCs w:val="28"/>
          <w:lang w:eastAsia="ru-RU"/>
        </w:rPr>
        <w:t>7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5944DD">
        <w:rPr>
          <w:rFonts w:ascii="Times New Roman" w:hAnsi="Times New Roman"/>
          <w:sz w:val="28"/>
          <w:szCs w:val="28"/>
          <w:lang w:eastAsia="ru-RU"/>
        </w:rPr>
        <w:t>2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BB11DD">
        <w:rPr>
          <w:rFonts w:ascii="Times New Roman" w:hAnsi="Times New Roman"/>
          <w:sz w:val="28"/>
          <w:szCs w:val="28"/>
          <w:lang w:eastAsia="ru-RU"/>
        </w:rPr>
        <w:t>212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2D497B">
        <w:rPr>
          <w:rFonts w:ascii="Times New Roman" w:hAnsi="Times New Roman"/>
          <w:sz w:val="28"/>
          <w:szCs w:val="28"/>
          <w:lang w:eastAsia="ru-RU"/>
        </w:rPr>
        <w:t>.0</w:t>
      </w:r>
      <w:r w:rsidR="00BB11DD">
        <w:rPr>
          <w:rFonts w:ascii="Times New Roman" w:hAnsi="Times New Roman"/>
          <w:sz w:val="28"/>
          <w:szCs w:val="28"/>
          <w:lang w:eastAsia="ru-RU"/>
        </w:rPr>
        <w:t>7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B14E39">
        <w:rPr>
          <w:rFonts w:ascii="Times New Roman" w:hAnsi="Times New Roman"/>
          <w:sz w:val="28"/>
          <w:szCs w:val="28"/>
          <w:lang w:eastAsia="ru-RU"/>
        </w:rPr>
        <w:t>1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14E39">
        <w:rPr>
          <w:rFonts w:ascii="Times New Roman" w:hAnsi="Times New Roman"/>
          <w:sz w:val="28"/>
          <w:szCs w:val="28"/>
          <w:lang w:eastAsia="ru-RU"/>
        </w:rPr>
        <w:t>2</w:t>
      </w:r>
      <w:r w:rsidR="00BB11DD">
        <w:rPr>
          <w:rFonts w:ascii="Times New Roman" w:hAnsi="Times New Roman"/>
          <w:sz w:val="28"/>
          <w:szCs w:val="28"/>
          <w:lang w:eastAsia="ru-RU"/>
        </w:rPr>
        <w:t>17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человек).</w:t>
      </w:r>
    </w:p>
    <w:p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Ипатовского городского округа Ставропольского края в сравнении с аналогичным периодом прошлого года </w:t>
      </w:r>
      <w:r w:rsidR="00C94360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B11DD">
        <w:rPr>
          <w:rFonts w:ascii="Times New Roman" w:hAnsi="Times New Roman"/>
          <w:sz w:val="28"/>
          <w:szCs w:val="28"/>
          <w:lang w:eastAsia="ru-RU"/>
        </w:rPr>
        <w:t>159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человек и составила </w:t>
      </w:r>
      <w:r w:rsidR="00BB11DD">
        <w:rPr>
          <w:rFonts w:ascii="Times New Roman" w:hAnsi="Times New Roman"/>
          <w:sz w:val="28"/>
          <w:szCs w:val="28"/>
          <w:lang w:eastAsia="ru-RU"/>
        </w:rPr>
        <w:t>2146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01 </w:t>
      </w:r>
      <w:r w:rsidR="00BB11DD">
        <w:rPr>
          <w:rFonts w:ascii="Times New Roman" w:hAnsi="Times New Roman"/>
          <w:sz w:val="28"/>
          <w:szCs w:val="28"/>
          <w:lang w:eastAsia="ru-RU"/>
        </w:rPr>
        <w:t>ию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ля 202</w:t>
      </w:r>
      <w:r w:rsidR="00B14E39">
        <w:rPr>
          <w:rFonts w:ascii="Times New Roman" w:hAnsi="Times New Roman"/>
          <w:sz w:val="28"/>
          <w:szCs w:val="28"/>
          <w:lang w:eastAsia="ru-RU"/>
        </w:rPr>
        <w:t>1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B11DD">
        <w:rPr>
          <w:rFonts w:ascii="Times New Roman" w:hAnsi="Times New Roman"/>
          <w:sz w:val="28"/>
          <w:szCs w:val="28"/>
          <w:lang w:eastAsia="ru-RU"/>
        </w:rPr>
        <w:t>2305</w:t>
      </w:r>
      <w:r w:rsidR="00ED02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служащих и работников муниципальных учреждений за перв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ое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полугодие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358413,01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рублей. </w:t>
      </w:r>
      <w:proofErr w:type="gramStart"/>
      <w:r w:rsidRPr="00A53F66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13023,79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44,4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%, из них: затраты на денежное содержание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>увелич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ились на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1190,12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49746,67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11833,67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 </w:t>
      </w:r>
      <w:r w:rsidR="00BB11DD">
        <w:rPr>
          <w:rFonts w:ascii="Times New Roman" w:hAnsi="Times New Roman"/>
          <w:bCs/>
          <w:sz w:val="28"/>
          <w:szCs w:val="28"/>
          <w:lang w:eastAsia="ru-RU"/>
        </w:rPr>
        <w:t>308666,34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  <w:proofErr w:type="gramEnd"/>
    </w:p>
    <w:p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r w:rsidR="00284BF9" w:rsidRPr="00284BF9">
        <w:rPr>
          <w:rFonts w:ascii="Times New Roman" w:hAnsi="Times New Roman"/>
          <w:sz w:val="28"/>
          <w:szCs w:val="28"/>
        </w:rPr>
        <w:t xml:space="preserve">Ипатовского городского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6B77B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местных бюджетов 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комиссии Ипатовского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0BB8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42DEC"/>
    <w:rsid w:val="00045A82"/>
    <w:rsid w:val="00045B03"/>
    <w:rsid w:val="00050CB5"/>
    <w:rsid w:val="00052EB5"/>
    <w:rsid w:val="00053B67"/>
    <w:rsid w:val="00062076"/>
    <w:rsid w:val="000642EE"/>
    <w:rsid w:val="00064B92"/>
    <w:rsid w:val="00065D5D"/>
    <w:rsid w:val="00067ADC"/>
    <w:rsid w:val="000721F3"/>
    <w:rsid w:val="00072ECF"/>
    <w:rsid w:val="000744BF"/>
    <w:rsid w:val="00076C2F"/>
    <w:rsid w:val="00076F5E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79BD"/>
    <w:rsid w:val="000D7CBB"/>
    <w:rsid w:val="000E1163"/>
    <w:rsid w:val="000E2957"/>
    <w:rsid w:val="000E33CC"/>
    <w:rsid w:val="000E5BB3"/>
    <w:rsid w:val="000E66B9"/>
    <w:rsid w:val="000E68E2"/>
    <w:rsid w:val="000E715C"/>
    <w:rsid w:val="000F2733"/>
    <w:rsid w:val="000F3649"/>
    <w:rsid w:val="000F452A"/>
    <w:rsid w:val="000F5B83"/>
    <w:rsid w:val="000F612B"/>
    <w:rsid w:val="000F65C6"/>
    <w:rsid w:val="000F6BE7"/>
    <w:rsid w:val="000F723D"/>
    <w:rsid w:val="00103182"/>
    <w:rsid w:val="00103776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3022"/>
    <w:rsid w:val="001239C6"/>
    <w:rsid w:val="00124B72"/>
    <w:rsid w:val="00125048"/>
    <w:rsid w:val="00125E60"/>
    <w:rsid w:val="00127F07"/>
    <w:rsid w:val="0013005F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27EF"/>
    <w:rsid w:val="001A350F"/>
    <w:rsid w:val="001A5C81"/>
    <w:rsid w:val="001A662E"/>
    <w:rsid w:val="001A7184"/>
    <w:rsid w:val="001A7F8A"/>
    <w:rsid w:val="001B1344"/>
    <w:rsid w:val="001B3660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7620"/>
    <w:rsid w:val="001F0D00"/>
    <w:rsid w:val="001F3995"/>
    <w:rsid w:val="001F6078"/>
    <w:rsid w:val="002026FC"/>
    <w:rsid w:val="0020400F"/>
    <w:rsid w:val="00205414"/>
    <w:rsid w:val="0020721E"/>
    <w:rsid w:val="002075A7"/>
    <w:rsid w:val="00210D3B"/>
    <w:rsid w:val="00210EFC"/>
    <w:rsid w:val="0021345A"/>
    <w:rsid w:val="00213CD3"/>
    <w:rsid w:val="002149F9"/>
    <w:rsid w:val="00215004"/>
    <w:rsid w:val="00215F65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75E1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4F78"/>
    <w:rsid w:val="00356BCA"/>
    <w:rsid w:val="00357C17"/>
    <w:rsid w:val="00357D30"/>
    <w:rsid w:val="00360CB3"/>
    <w:rsid w:val="003624B4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1175"/>
    <w:rsid w:val="00391ECC"/>
    <w:rsid w:val="003929F9"/>
    <w:rsid w:val="0039379D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D35"/>
    <w:rsid w:val="003A5879"/>
    <w:rsid w:val="003A5DBD"/>
    <w:rsid w:val="003A6893"/>
    <w:rsid w:val="003A7BB2"/>
    <w:rsid w:val="003B4C3C"/>
    <w:rsid w:val="003B5618"/>
    <w:rsid w:val="003B6655"/>
    <w:rsid w:val="003B76F3"/>
    <w:rsid w:val="003B7B57"/>
    <w:rsid w:val="003C0828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6731"/>
    <w:rsid w:val="003F7699"/>
    <w:rsid w:val="003F775E"/>
    <w:rsid w:val="003F7DE5"/>
    <w:rsid w:val="0040361C"/>
    <w:rsid w:val="00404B5D"/>
    <w:rsid w:val="00406C9B"/>
    <w:rsid w:val="0041125F"/>
    <w:rsid w:val="0041251D"/>
    <w:rsid w:val="00413B12"/>
    <w:rsid w:val="00414484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0B05"/>
    <w:rsid w:val="004C285E"/>
    <w:rsid w:val="004C48CC"/>
    <w:rsid w:val="004C628E"/>
    <w:rsid w:val="004D1388"/>
    <w:rsid w:val="004D1599"/>
    <w:rsid w:val="004D2EBA"/>
    <w:rsid w:val="004D3602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9DC"/>
    <w:rsid w:val="00644F40"/>
    <w:rsid w:val="00645421"/>
    <w:rsid w:val="0064726B"/>
    <w:rsid w:val="006476EF"/>
    <w:rsid w:val="00647DEB"/>
    <w:rsid w:val="00650C02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76E0"/>
    <w:rsid w:val="006D7BB8"/>
    <w:rsid w:val="006E1115"/>
    <w:rsid w:val="006E1C14"/>
    <w:rsid w:val="006E2605"/>
    <w:rsid w:val="006E5F26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5D86"/>
    <w:rsid w:val="00715FD5"/>
    <w:rsid w:val="0072057F"/>
    <w:rsid w:val="007213CC"/>
    <w:rsid w:val="00721D38"/>
    <w:rsid w:val="00724288"/>
    <w:rsid w:val="007253C8"/>
    <w:rsid w:val="007262F2"/>
    <w:rsid w:val="00726577"/>
    <w:rsid w:val="0073300B"/>
    <w:rsid w:val="00733A2C"/>
    <w:rsid w:val="00733CFD"/>
    <w:rsid w:val="007352FB"/>
    <w:rsid w:val="0073580E"/>
    <w:rsid w:val="00737AA1"/>
    <w:rsid w:val="00741138"/>
    <w:rsid w:val="00742175"/>
    <w:rsid w:val="0074323D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3611"/>
    <w:rsid w:val="00783C3F"/>
    <w:rsid w:val="0078408D"/>
    <w:rsid w:val="0078426B"/>
    <w:rsid w:val="00785C2C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6EDB"/>
    <w:rsid w:val="007C00CF"/>
    <w:rsid w:val="007C00DF"/>
    <w:rsid w:val="007C0217"/>
    <w:rsid w:val="007C0F9D"/>
    <w:rsid w:val="007C16D5"/>
    <w:rsid w:val="007C3DDB"/>
    <w:rsid w:val="007C4E1A"/>
    <w:rsid w:val="007C5DFD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C78"/>
    <w:rsid w:val="00836044"/>
    <w:rsid w:val="0083614B"/>
    <w:rsid w:val="00837987"/>
    <w:rsid w:val="008406A6"/>
    <w:rsid w:val="00840A17"/>
    <w:rsid w:val="008455A8"/>
    <w:rsid w:val="00845CA2"/>
    <w:rsid w:val="00846B6E"/>
    <w:rsid w:val="0084756E"/>
    <w:rsid w:val="008478A8"/>
    <w:rsid w:val="008519E8"/>
    <w:rsid w:val="00851D63"/>
    <w:rsid w:val="00854FB0"/>
    <w:rsid w:val="00860018"/>
    <w:rsid w:val="0086285F"/>
    <w:rsid w:val="00862A36"/>
    <w:rsid w:val="00862C0B"/>
    <w:rsid w:val="0086388D"/>
    <w:rsid w:val="00864FA1"/>
    <w:rsid w:val="0087061F"/>
    <w:rsid w:val="00872D19"/>
    <w:rsid w:val="00876D6E"/>
    <w:rsid w:val="008773CA"/>
    <w:rsid w:val="00877CBB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6B5B"/>
    <w:rsid w:val="008A6CB5"/>
    <w:rsid w:val="008B102C"/>
    <w:rsid w:val="008B4DE4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52A2"/>
    <w:rsid w:val="008E6D6F"/>
    <w:rsid w:val="008F1BB3"/>
    <w:rsid w:val="008F5B3F"/>
    <w:rsid w:val="008F6F81"/>
    <w:rsid w:val="0090047A"/>
    <w:rsid w:val="009005E5"/>
    <w:rsid w:val="00900AD6"/>
    <w:rsid w:val="009016E9"/>
    <w:rsid w:val="00901ED3"/>
    <w:rsid w:val="00902945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1086"/>
    <w:rsid w:val="009617FF"/>
    <w:rsid w:val="0096523C"/>
    <w:rsid w:val="00966817"/>
    <w:rsid w:val="00967B68"/>
    <w:rsid w:val="00967FCE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98B"/>
    <w:rsid w:val="009E2E04"/>
    <w:rsid w:val="009E4CD1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3F66"/>
    <w:rsid w:val="00A565E7"/>
    <w:rsid w:val="00A56BB0"/>
    <w:rsid w:val="00A57CE4"/>
    <w:rsid w:val="00A6000E"/>
    <w:rsid w:val="00A602ED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4949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25F6"/>
    <w:rsid w:val="00AA42A4"/>
    <w:rsid w:val="00AA4420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4117"/>
    <w:rsid w:val="00AD66FB"/>
    <w:rsid w:val="00AD7CC5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76A2"/>
    <w:rsid w:val="00B107D5"/>
    <w:rsid w:val="00B12773"/>
    <w:rsid w:val="00B12ACF"/>
    <w:rsid w:val="00B14C52"/>
    <w:rsid w:val="00B14E39"/>
    <w:rsid w:val="00B201B4"/>
    <w:rsid w:val="00B23F05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701E4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11DD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6409"/>
    <w:rsid w:val="00C205C3"/>
    <w:rsid w:val="00C23AF4"/>
    <w:rsid w:val="00C2552A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553F"/>
    <w:rsid w:val="00C57DC8"/>
    <w:rsid w:val="00C63F68"/>
    <w:rsid w:val="00C6471F"/>
    <w:rsid w:val="00C663D4"/>
    <w:rsid w:val="00C71375"/>
    <w:rsid w:val="00C77176"/>
    <w:rsid w:val="00C83313"/>
    <w:rsid w:val="00C83EF2"/>
    <w:rsid w:val="00C84FCE"/>
    <w:rsid w:val="00C87091"/>
    <w:rsid w:val="00C87D77"/>
    <w:rsid w:val="00C907A9"/>
    <w:rsid w:val="00C92902"/>
    <w:rsid w:val="00C932BB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225"/>
    <w:rsid w:val="00CA7F54"/>
    <w:rsid w:val="00CB2DEA"/>
    <w:rsid w:val="00CB4803"/>
    <w:rsid w:val="00CB55DC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ABF"/>
    <w:rsid w:val="00CD3BF0"/>
    <w:rsid w:val="00CD52F7"/>
    <w:rsid w:val="00CE2779"/>
    <w:rsid w:val="00CE2D09"/>
    <w:rsid w:val="00CE31E4"/>
    <w:rsid w:val="00CE72AC"/>
    <w:rsid w:val="00CF05F4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2437"/>
    <w:rsid w:val="00D3339E"/>
    <w:rsid w:val="00D3554B"/>
    <w:rsid w:val="00D35B8C"/>
    <w:rsid w:val="00D40033"/>
    <w:rsid w:val="00D40196"/>
    <w:rsid w:val="00D408C8"/>
    <w:rsid w:val="00D41CA2"/>
    <w:rsid w:val="00D42367"/>
    <w:rsid w:val="00D43E3D"/>
    <w:rsid w:val="00D453D9"/>
    <w:rsid w:val="00D4608D"/>
    <w:rsid w:val="00D505C7"/>
    <w:rsid w:val="00D50B95"/>
    <w:rsid w:val="00D51A68"/>
    <w:rsid w:val="00D51AA0"/>
    <w:rsid w:val="00D53241"/>
    <w:rsid w:val="00D5510B"/>
    <w:rsid w:val="00D57375"/>
    <w:rsid w:val="00D6005B"/>
    <w:rsid w:val="00D61573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2A4F"/>
    <w:rsid w:val="00D958BF"/>
    <w:rsid w:val="00D96519"/>
    <w:rsid w:val="00D976BE"/>
    <w:rsid w:val="00DA07AF"/>
    <w:rsid w:val="00DA2500"/>
    <w:rsid w:val="00DA4472"/>
    <w:rsid w:val="00DA5DE1"/>
    <w:rsid w:val="00DA70A0"/>
    <w:rsid w:val="00DB016C"/>
    <w:rsid w:val="00DB0CC4"/>
    <w:rsid w:val="00DB25B8"/>
    <w:rsid w:val="00DB72BC"/>
    <w:rsid w:val="00DB752D"/>
    <w:rsid w:val="00DC01A2"/>
    <w:rsid w:val="00DC04FB"/>
    <w:rsid w:val="00DC10AC"/>
    <w:rsid w:val="00DC78D9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1B7"/>
    <w:rsid w:val="00E35AE0"/>
    <w:rsid w:val="00E37441"/>
    <w:rsid w:val="00E379C3"/>
    <w:rsid w:val="00E403D3"/>
    <w:rsid w:val="00E4114D"/>
    <w:rsid w:val="00E43473"/>
    <w:rsid w:val="00E43736"/>
    <w:rsid w:val="00E440B4"/>
    <w:rsid w:val="00E45282"/>
    <w:rsid w:val="00E45C65"/>
    <w:rsid w:val="00E476F6"/>
    <w:rsid w:val="00E50167"/>
    <w:rsid w:val="00E513AA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554C"/>
    <w:rsid w:val="00EA63BA"/>
    <w:rsid w:val="00EB1883"/>
    <w:rsid w:val="00EB1C02"/>
    <w:rsid w:val="00EB1F48"/>
    <w:rsid w:val="00EB2576"/>
    <w:rsid w:val="00EB2E4B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E5B5F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1CFC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85BC4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F479-68C2-4E19-A3E5-B36E17AE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2841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KCK-1</cp:lastModifiedBy>
  <cp:revision>12</cp:revision>
  <cp:lastPrinted>2021-11-16T06:23:00Z</cp:lastPrinted>
  <dcterms:created xsi:type="dcterms:W3CDTF">2022-08-18T07:38:00Z</dcterms:created>
  <dcterms:modified xsi:type="dcterms:W3CDTF">2022-08-23T06:48:00Z</dcterms:modified>
</cp:coreProperties>
</file>