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>1 квартал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EB2E4B">
        <w:rPr>
          <w:rFonts w:ascii="Times New Roman" w:eastAsia="Calibri" w:hAnsi="Times New Roman"/>
          <w:b/>
          <w:sz w:val="28"/>
          <w:szCs w:val="28"/>
        </w:rPr>
        <w:t>2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7819D1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55710">
        <w:rPr>
          <w:rFonts w:ascii="Times New Roman" w:eastAsia="Calibri" w:hAnsi="Times New Roman"/>
          <w:sz w:val="28"/>
          <w:szCs w:val="28"/>
        </w:rPr>
        <w:t>9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 w:rsidR="00EB2E4B">
        <w:rPr>
          <w:rFonts w:ascii="Times New Roman" w:eastAsia="Calibri" w:hAnsi="Times New Roman"/>
          <w:sz w:val="28"/>
          <w:szCs w:val="28"/>
        </w:rPr>
        <w:t>05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EB2E4B">
        <w:rPr>
          <w:rFonts w:ascii="Times New Roman" w:eastAsia="Calibri" w:hAnsi="Times New Roman"/>
          <w:sz w:val="28"/>
          <w:szCs w:val="28"/>
        </w:rPr>
        <w:t>2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решением Думы Ипатовского городского округа Ставропольского края от 2</w:t>
      </w:r>
      <w:r w:rsidR="002E35E5">
        <w:rPr>
          <w:rFonts w:ascii="Times New Roman" w:hAnsi="Times New Roman"/>
          <w:sz w:val="28"/>
          <w:szCs w:val="28"/>
          <w:lang w:eastAsia="ru-RU"/>
        </w:rPr>
        <w:t>8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.09.20</w:t>
      </w:r>
      <w:r w:rsidR="002E35E5">
        <w:rPr>
          <w:rFonts w:ascii="Times New Roman" w:hAnsi="Times New Roman"/>
          <w:sz w:val="28"/>
          <w:szCs w:val="28"/>
          <w:lang w:eastAsia="ru-RU"/>
        </w:rPr>
        <w:t>21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E35E5">
        <w:rPr>
          <w:rFonts w:ascii="Times New Roman" w:hAnsi="Times New Roman"/>
          <w:sz w:val="28"/>
          <w:szCs w:val="28"/>
          <w:lang w:eastAsia="ru-RU"/>
        </w:rPr>
        <w:t>125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0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04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67438">
        <w:rPr>
          <w:rFonts w:ascii="Times New Roman" w:hAnsi="Times New Roman"/>
          <w:sz w:val="28"/>
          <w:szCs w:val="28"/>
          <w:lang w:eastAsia="ru-RU"/>
        </w:rPr>
        <w:t>138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976361">
        <w:rPr>
          <w:rFonts w:ascii="Times New Roman" w:hAnsi="Times New Roman"/>
          <w:sz w:val="28"/>
          <w:szCs w:val="28"/>
          <w:lang w:eastAsia="ru-RU"/>
        </w:rPr>
        <w:t>4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976361">
        <w:rPr>
          <w:rFonts w:ascii="Times New Roman" w:hAnsi="Times New Roman"/>
          <w:sz w:val="28"/>
          <w:szCs w:val="28"/>
          <w:lang w:eastAsia="ru-RU"/>
        </w:rPr>
        <w:t>1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F3209">
        <w:rPr>
          <w:rFonts w:ascii="Times New Roman" w:hAnsi="Times New Roman"/>
          <w:sz w:val="28"/>
          <w:szCs w:val="28"/>
          <w:lang w:eastAsia="ru-RU"/>
        </w:rPr>
        <w:t>1</w:t>
      </w:r>
      <w:r w:rsidR="00976361">
        <w:rPr>
          <w:rFonts w:ascii="Times New Roman" w:hAnsi="Times New Roman"/>
          <w:sz w:val="28"/>
          <w:szCs w:val="28"/>
          <w:lang w:eastAsia="ru-RU"/>
        </w:rPr>
        <w:t>82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Ипатовского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976361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976361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976361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январ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AD2757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>, от 2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D6DE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1963962,74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2193585,53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229622,79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220BDD">
        <w:rPr>
          <w:rFonts w:ascii="Times New Roman" w:hAnsi="Times New Roman"/>
          <w:sz w:val="28"/>
          <w:szCs w:val="28"/>
        </w:rPr>
        <w:t>квартал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220BDD">
        <w:rPr>
          <w:rFonts w:ascii="Times New Roman" w:hAnsi="Times New Roman"/>
          <w:sz w:val="28"/>
          <w:szCs w:val="28"/>
        </w:rPr>
        <w:t>2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DB752D">
        <w:rPr>
          <w:rFonts w:ascii="Times New Roman" w:hAnsi="Times New Roman"/>
          <w:sz w:val="28"/>
          <w:szCs w:val="28"/>
        </w:rPr>
        <w:t>444135,66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DB752D">
        <w:rPr>
          <w:rFonts w:ascii="Times New Roman" w:hAnsi="Times New Roman"/>
          <w:sz w:val="28"/>
          <w:szCs w:val="28"/>
        </w:rPr>
        <w:t>426728,93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4F3D41">
        <w:rPr>
          <w:rFonts w:ascii="Times New Roman" w:hAnsi="Times New Roman"/>
          <w:sz w:val="28"/>
          <w:szCs w:val="28"/>
        </w:rPr>
        <w:t>доходов над расходами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DB752D">
        <w:rPr>
          <w:rFonts w:ascii="Times New Roman" w:hAnsi="Times New Roman"/>
          <w:sz w:val="28"/>
          <w:szCs w:val="28"/>
        </w:rPr>
        <w:t>17406,73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151489">
        <w:rPr>
          <w:rFonts w:ascii="Times New Roman" w:hAnsi="Times New Roman"/>
          <w:sz w:val="28"/>
          <w:szCs w:val="28"/>
          <w:lang w:eastAsia="ru-RU"/>
        </w:rPr>
        <w:t>24</w:t>
      </w:r>
      <w:r w:rsidR="00512385">
        <w:rPr>
          <w:rFonts w:ascii="Times New Roman" w:hAnsi="Times New Roman"/>
          <w:sz w:val="28"/>
          <w:szCs w:val="28"/>
          <w:lang w:eastAsia="ru-RU"/>
        </w:rPr>
        <w:t>,0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151489">
        <w:rPr>
          <w:rFonts w:ascii="Times New Roman" w:hAnsi="Times New Roman"/>
          <w:sz w:val="28"/>
          <w:szCs w:val="28"/>
          <w:lang w:eastAsia="ru-RU"/>
        </w:rPr>
        <w:t>105375,89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51489">
        <w:rPr>
          <w:rFonts w:ascii="Times New Roman" w:hAnsi="Times New Roman"/>
          <w:bCs/>
          <w:sz w:val="28"/>
          <w:szCs w:val="28"/>
          <w:lang w:eastAsia="ru-RU"/>
        </w:rPr>
        <w:t>338759,77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51489">
        <w:rPr>
          <w:rFonts w:ascii="Times New Roman" w:hAnsi="Times New Roman"/>
          <w:bCs/>
          <w:sz w:val="28"/>
          <w:szCs w:val="28"/>
          <w:lang w:eastAsia="ru-RU"/>
        </w:rPr>
        <w:t>22,2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51489">
        <w:rPr>
          <w:rFonts w:ascii="Times New Roman" w:hAnsi="Times New Roman"/>
          <w:sz w:val="28"/>
          <w:szCs w:val="28"/>
          <w:lang w:eastAsia="ru-RU"/>
        </w:rPr>
        <w:t>снизился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251473,05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A2D">
        <w:rPr>
          <w:rFonts w:ascii="Times New Roman" w:hAnsi="Times New Roman"/>
          <w:sz w:val="28"/>
          <w:szCs w:val="28"/>
          <w:lang w:eastAsia="ru-RU"/>
        </w:rPr>
        <w:t>70,5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сниз</w:t>
      </w:r>
      <w:r w:rsidR="00DE3C36">
        <w:rPr>
          <w:rFonts w:ascii="Times New Roman" w:hAnsi="Times New Roman"/>
          <w:bCs/>
          <w:sz w:val="28"/>
          <w:szCs w:val="28"/>
          <w:lang w:eastAsia="ru-RU"/>
        </w:rPr>
        <w:t>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692663,74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67,2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sz w:val="28"/>
          <w:szCs w:val="28"/>
          <w:lang w:eastAsia="ru-RU"/>
        </w:rPr>
        <w:t>1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>доля налоговых доходов</w:t>
      </w:r>
      <w:r w:rsidR="00580C8F" w:rsidRPr="00580C8F">
        <w:rPr>
          <w:rFonts w:ascii="Times New Roman" w:hAnsi="Times New Roman"/>
          <w:sz w:val="28"/>
          <w:szCs w:val="28"/>
        </w:rPr>
        <w:t xml:space="preserve"> </w:t>
      </w:r>
      <w:r w:rsidR="00F67A60" w:rsidRPr="00580C8F">
        <w:rPr>
          <w:rFonts w:ascii="Times New Roman" w:hAnsi="Times New Roman"/>
          <w:sz w:val="28"/>
          <w:szCs w:val="28"/>
        </w:rPr>
        <w:t xml:space="preserve">– с </w:t>
      </w:r>
      <w:r w:rsidR="00580C8F" w:rsidRPr="00580C8F">
        <w:rPr>
          <w:rFonts w:ascii="Times New Roman" w:hAnsi="Times New Roman"/>
          <w:sz w:val="28"/>
          <w:szCs w:val="28"/>
        </w:rPr>
        <w:t>6,8</w:t>
      </w:r>
      <w:r w:rsidR="00F67A60" w:rsidRPr="00580C8F">
        <w:rPr>
          <w:rFonts w:ascii="Times New Roman" w:hAnsi="Times New Roman"/>
          <w:sz w:val="28"/>
          <w:szCs w:val="28"/>
        </w:rPr>
        <w:t xml:space="preserve"> %</w:t>
      </w:r>
      <w:r w:rsidR="007F0524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>
        <w:rPr>
          <w:rFonts w:ascii="Times New Roman" w:hAnsi="Times New Roman"/>
          <w:sz w:val="28"/>
          <w:szCs w:val="28"/>
          <w:lang w:eastAsia="ru-RU"/>
        </w:rPr>
        <w:t>до 18,7 % и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80C8F">
        <w:rPr>
          <w:rFonts w:ascii="Times New Roman" w:hAnsi="Times New Roman"/>
          <w:sz w:val="28"/>
          <w:szCs w:val="28"/>
          <w:lang w:eastAsia="ru-RU"/>
        </w:rPr>
        <w:t>1,7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580C8F">
        <w:rPr>
          <w:rFonts w:ascii="Times New Roman" w:hAnsi="Times New Roman"/>
          <w:sz w:val="28"/>
          <w:szCs w:val="28"/>
          <w:lang w:eastAsia="ru-RU"/>
        </w:rPr>
        <w:t>5,0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поступлений  –  </w:t>
      </w:r>
      <w:proofErr w:type="gramStart"/>
      <w:r w:rsidR="00F67A60" w:rsidRPr="00F67A6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91,5 % до 76,3 %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FBA">
        <w:rPr>
          <w:rFonts w:ascii="Times New Roman" w:hAnsi="Times New Roman"/>
          <w:sz w:val="28"/>
          <w:szCs w:val="28"/>
          <w:lang w:eastAsia="ru-RU"/>
        </w:rPr>
        <w:t>квартал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AB5FBA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AB5FBA">
        <w:rPr>
          <w:rFonts w:ascii="Times New Roman" w:hAnsi="Times New Roman"/>
          <w:bCs/>
          <w:sz w:val="28"/>
          <w:szCs w:val="28"/>
          <w:lang w:eastAsia="ru-RU"/>
        </w:rPr>
        <w:t>83186,44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B5FBA">
        <w:rPr>
          <w:rFonts w:ascii="Times New Roman" w:hAnsi="Times New Roman"/>
          <w:bCs/>
          <w:sz w:val="28"/>
          <w:szCs w:val="28"/>
          <w:lang w:eastAsia="ru-RU"/>
        </w:rPr>
        <w:t>22,5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квартал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E10E9C" w:rsidRPr="00E10E9C" w:rsidTr="00364FA1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квартал 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квартал 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364FA1" w:rsidRPr="00E10E9C" w:rsidTr="00364FA1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FA1" w:rsidRPr="00E10E9C" w:rsidTr="00364FA1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E9C" w:rsidRPr="00E10E9C" w:rsidTr="00364FA1">
        <w:trPr>
          <w:trHeight w:val="3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E9C" w:rsidRPr="00E10E9C" w:rsidTr="00364FA1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33813,04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E10E9C" w:rsidRPr="00E10E9C" w:rsidTr="00364FA1">
        <w:trPr>
          <w:trHeight w:val="1597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8396,19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E10E9C" w:rsidRPr="00E10E9C" w:rsidTr="00364FA1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16752,02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29610,21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</w:tr>
      <w:tr w:rsidR="00E10E9C" w:rsidRPr="00E10E9C" w:rsidTr="00364FA1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9953,61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E10E9C" w:rsidRPr="00E10E9C" w:rsidTr="00364FA1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10E9C" w:rsidRPr="00E10E9C" w:rsidTr="00364FA1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E9C" w:rsidRPr="00E10E9C" w:rsidRDefault="00E10E9C" w:rsidP="00E10E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70376,54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369844,00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83186,44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E9C" w:rsidRPr="00E10E9C" w:rsidRDefault="00E10E9C" w:rsidP="00E10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10E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364FA1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364FA1">
        <w:rPr>
          <w:rFonts w:ascii="Times New Roman" w:hAnsi="Times New Roman"/>
          <w:sz w:val="28"/>
          <w:szCs w:val="28"/>
          <w:lang w:eastAsia="ru-RU"/>
        </w:rPr>
        <w:t>39,8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364FA1">
        <w:rPr>
          <w:rFonts w:ascii="Times New Roman" w:hAnsi="Times New Roman"/>
          <w:sz w:val="28"/>
          <w:szCs w:val="28"/>
          <w:lang w:eastAsia="ru-RU"/>
        </w:rPr>
        <w:t>33111,65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364FA1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345DEB">
        <w:rPr>
          <w:rFonts w:ascii="Times New Roman" w:hAnsi="Times New Roman"/>
          <w:sz w:val="28"/>
          <w:szCs w:val="28"/>
          <w:lang w:eastAsia="ru-RU"/>
        </w:rPr>
        <w:t>48,0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0150DF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345DEB">
        <w:rPr>
          <w:rFonts w:ascii="Times New Roman" w:hAnsi="Times New Roman"/>
          <w:sz w:val="28"/>
          <w:szCs w:val="28"/>
          <w:lang w:eastAsia="ru-RU"/>
        </w:rPr>
        <w:t>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345DEB">
        <w:rPr>
          <w:rFonts w:ascii="Times New Roman" w:hAnsi="Times New Roman"/>
          <w:sz w:val="28"/>
          <w:szCs w:val="28"/>
          <w:lang w:eastAsia="ru-RU"/>
        </w:rPr>
        <w:t>6669,03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45DEB">
        <w:rPr>
          <w:rFonts w:ascii="Times New Roman" w:hAnsi="Times New Roman"/>
          <w:sz w:val="28"/>
          <w:szCs w:val="28"/>
          <w:lang w:eastAsia="ru-RU"/>
        </w:rPr>
        <w:t>8,7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45DEB">
        <w:rPr>
          <w:rFonts w:ascii="Times New Roman" w:hAnsi="Times New Roman"/>
          <w:sz w:val="28"/>
          <w:szCs w:val="28"/>
          <w:lang w:eastAsia="ru-RU"/>
        </w:rPr>
        <w:t>2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E3053D">
        <w:rPr>
          <w:rFonts w:ascii="Times New Roman" w:hAnsi="Times New Roman"/>
          <w:sz w:val="28"/>
          <w:szCs w:val="28"/>
          <w:lang w:eastAsia="ru-RU"/>
        </w:rPr>
        <w:t>33111,65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E3053D">
        <w:rPr>
          <w:rFonts w:ascii="Times New Roman" w:hAnsi="Times New Roman"/>
          <w:sz w:val="28"/>
          <w:szCs w:val="28"/>
          <w:lang w:eastAsia="ru-RU"/>
        </w:rPr>
        <w:t>15,6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E3053D">
        <w:rPr>
          <w:rFonts w:ascii="Times New Roman" w:hAnsi="Times New Roman"/>
          <w:sz w:val="28"/>
          <w:szCs w:val="28"/>
          <w:lang w:eastAsia="ru-RU"/>
        </w:rPr>
        <w:t>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3053D">
        <w:rPr>
          <w:rFonts w:ascii="Times New Roman" w:hAnsi="Times New Roman"/>
          <w:sz w:val="28"/>
          <w:szCs w:val="28"/>
          <w:lang w:eastAsia="ru-RU"/>
        </w:rPr>
        <w:lastRenderedPageBreak/>
        <w:t>сниз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3053D">
        <w:rPr>
          <w:rFonts w:ascii="Times New Roman" w:hAnsi="Times New Roman"/>
          <w:sz w:val="28"/>
          <w:szCs w:val="28"/>
          <w:lang w:eastAsia="ru-RU"/>
        </w:rPr>
        <w:t>1858,95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53D">
        <w:rPr>
          <w:rFonts w:ascii="Times New Roman" w:hAnsi="Times New Roman"/>
          <w:sz w:val="28"/>
          <w:szCs w:val="28"/>
          <w:lang w:eastAsia="ru-RU"/>
        </w:rPr>
        <w:t>5,3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с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замен</w:t>
      </w:r>
      <w:r w:rsidR="000F452A">
        <w:rPr>
          <w:rFonts w:ascii="Times New Roman" w:hAnsi="Times New Roman"/>
          <w:sz w:val="28"/>
          <w:szCs w:val="28"/>
          <w:lang w:eastAsia="ru-RU"/>
        </w:rPr>
        <w:t>ой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дотации</w:t>
      </w:r>
      <w:r w:rsidR="00E440B4" w:rsidRPr="00E440B4">
        <w:t xml:space="preserve">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>на выравнивание бюджетной обеспеченности из краевого фонда финансовой поддержки в 202</w:t>
      </w:r>
      <w:r w:rsidR="001E1E76">
        <w:rPr>
          <w:rFonts w:ascii="Times New Roman" w:hAnsi="Times New Roman"/>
          <w:sz w:val="28"/>
          <w:szCs w:val="28"/>
          <w:lang w:eastAsia="ru-RU"/>
        </w:rPr>
        <w:t>2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подлежащей замене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на дополнительный норматив отчислений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40B4">
        <w:rPr>
          <w:rFonts w:ascii="Times New Roman" w:hAnsi="Times New Roman"/>
          <w:sz w:val="28"/>
          <w:szCs w:val="28"/>
          <w:lang w:eastAsia="ru-RU"/>
        </w:rPr>
        <w:t>который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40B4">
        <w:rPr>
          <w:rFonts w:ascii="Times New Roman" w:hAnsi="Times New Roman"/>
          <w:sz w:val="28"/>
          <w:szCs w:val="28"/>
          <w:lang w:eastAsia="ru-RU"/>
        </w:rPr>
        <w:t>текущем</w:t>
      </w:r>
      <w:r w:rsidR="00C50F25">
        <w:rPr>
          <w:rFonts w:ascii="Times New Roman" w:hAnsi="Times New Roman"/>
          <w:sz w:val="28"/>
          <w:szCs w:val="28"/>
          <w:lang w:eastAsia="ru-RU"/>
        </w:rPr>
        <w:t xml:space="preserve"> году составил – </w:t>
      </w:r>
      <w:r w:rsidR="001E1E76">
        <w:rPr>
          <w:rFonts w:ascii="Times New Roman" w:hAnsi="Times New Roman"/>
          <w:sz w:val="28"/>
          <w:szCs w:val="28"/>
          <w:lang w:eastAsia="ru-RU"/>
        </w:rPr>
        <w:t>3,33</w:t>
      </w:r>
      <w:r w:rsidR="00E3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%.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A74949">
        <w:rPr>
          <w:rFonts w:ascii="Times New Roman" w:hAnsi="Times New Roman"/>
          <w:sz w:val="28"/>
          <w:szCs w:val="28"/>
          <w:lang w:eastAsia="ru-RU"/>
        </w:rPr>
        <w:t>10966,95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74949">
        <w:rPr>
          <w:rFonts w:ascii="Times New Roman" w:hAnsi="Times New Roman"/>
          <w:sz w:val="28"/>
          <w:szCs w:val="28"/>
          <w:lang w:eastAsia="ru-RU"/>
        </w:rPr>
        <w:t>28,7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A74949">
        <w:rPr>
          <w:rFonts w:ascii="Times New Roman" w:hAnsi="Times New Roman"/>
          <w:sz w:val="28"/>
          <w:szCs w:val="28"/>
          <w:lang w:eastAsia="ru-RU"/>
        </w:rPr>
        <w:t>1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949">
        <w:rPr>
          <w:rFonts w:ascii="Times New Roman" w:hAnsi="Times New Roman"/>
          <w:sz w:val="28"/>
          <w:szCs w:val="28"/>
          <w:lang w:eastAsia="ru-RU"/>
        </w:rPr>
        <w:t>2106,20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74949">
        <w:rPr>
          <w:rFonts w:ascii="Times New Roman" w:hAnsi="Times New Roman"/>
          <w:sz w:val="28"/>
          <w:szCs w:val="28"/>
          <w:lang w:eastAsia="ru-RU"/>
        </w:rPr>
        <w:t>23,8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3D37">
        <w:rPr>
          <w:rFonts w:ascii="Times New Roman" w:hAnsi="Times New Roman"/>
          <w:sz w:val="28"/>
          <w:szCs w:val="28"/>
          <w:lang w:eastAsia="ru-RU"/>
        </w:rPr>
        <w:t>2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2A3D37">
        <w:rPr>
          <w:rFonts w:ascii="Times New Roman" w:hAnsi="Times New Roman"/>
          <w:sz w:val="28"/>
          <w:szCs w:val="28"/>
          <w:lang w:eastAsia="ru-RU"/>
        </w:rPr>
        <w:t>29610,21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2A3D37">
        <w:rPr>
          <w:rFonts w:ascii="Times New Roman" w:hAnsi="Times New Roman"/>
          <w:sz w:val="28"/>
          <w:szCs w:val="28"/>
          <w:lang w:eastAsia="ru-RU"/>
        </w:rPr>
        <w:t>73,9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A4D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A3D37">
        <w:rPr>
          <w:rFonts w:ascii="Times New Roman" w:hAnsi="Times New Roman"/>
          <w:sz w:val="28"/>
          <w:szCs w:val="28"/>
          <w:lang w:eastAsia="ru-RU"/>
        </w:rPr>
        <w:t>5955,61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A3D37">
        <w:rPr>
          <w:rFonts w:ascii="Times New Roman" w:hAnsi="Times New Roman"/>
          <w:sz w:val="28"/>
          <w:szCs w:val="28"/>
          <w:lang w:eastAsia="ru-RU"/>
        </w:rPr>
        <w:t>25,2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A7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связано</w:t>
      </w:r>
      <w:r w:rsidR="00DB2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E12FFA">
        <w:rPr>
          <w:rFonts w:ascii="Times New Roman" w:hAnsi="Times New Roman"/>
          <w:sz w:val="28"/>
          <w:szCs w:val="28"/>
          <w:lang w:eastAsia="ru-RU"/>
        </w:rPr>
        <w:t>ием</w:t>
      </w:r>
      <w:r w:rsidR="00376B4D" w:rsidRPr="00376B4D">
        <w:t xml:space="preserve"> </w:t>
      </w:r>
      <w:r w:rsidR="00376B4D" w:rsidRPr="00376B4D">
        <w:rPr>
          <w:rFonts w:ascii="Times New Roman" w:hAnsi="Times New Roman"/>
          <w:sz w:val="28"/>
          <w:szCs w:val="28"/>
          <w:lang w:eastAsia="ru-RU"/>
        </w:rPr>
        <w:t xml:space="preserve">с 01.01.2021 г.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E12FFA">
        <w:rPr>
          <w:rFonts w:ascii="Times New Roman" w:hAnsi="Times New Roman"/>
          <w:sz w:val="28"/>
          <w:szCs w:val="28"/>
          <w:lang w:eastAsia="ru-RU"/>
        </w:rPr>
        <w:t>а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отчислений в бюджеты городских округов Ставропольского края от налога, взимаемого в связи с применением упрощенной системы налогообложения в размере 15%.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E4D2C">
        <w:rPr>
          <w:rFonts w:ascii="Times New Roman" w:hAnsi="Times New Roman"/>
          <w:sz w:val="28"/>
          <w:szCs w:val="28"/>
          <w:lang w:eastAsia="ru-RU"/>
        </w:rPr>
        <w:t>8378,46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DE4D2C">
        <w:rPr>
          <w:rFonts w:ascii="Times New Roman" w:hAnsi="Times New Roman"/>
          <w:sz w:val="28"/>
          <w:szCs w:val="28"/>
          <w:lang w:eastAsia="ru-RU"/>
        </w:rPr>
        <w:t>1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6001A">
        <w:rPr>
          <w:rFonts w:ascii="Times New Roman" w:hAnsi="Times New Roman"/>
          <w:sz w:val="28"/>
          <w:szCs w:val="28"/>
          <w:lang w:eastAsia="ru-RU"/>
        </w:rPr>
        <w:t>уве</w:t>
      </w:r>
      <w:r w:rsidR="00313A4D">
        <w:rPr>
          <w:rFonts w:ascii="Times New Roman" w:hAnsi="Times New Roman"/>
          <w:sz w:val="28"/>
          <w:szCs w:val="28"/>
          <w:lang w:eastAsia="ru-RU"/>
        </w:rPr>
        <w:t>личилос</w:t>
      </w:r>
      <w:r w:rsidR="00B57078">
        <w:rPr>
          <w:rFonts w:ascii="Times New Roman" w:hAnsi="Times New Roman"/>
          <w:sz w:val="28"/>
          <w:szCs w:val="28"/>
          <w:lang w:eastAsia="ru-RU"/>
        </w:rPr>
        <w:t>ь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поступление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1731E">
        <w:rPr>
          <w:rFonts w:ascii="Times New Roman" w:hAnsi="Times New Roman"/>
          <w:sz w:val="28"/>
          <w:szCs w:val="28"/>
          <w:lang w:eastAsia="ru-RU"/>
        </w:rPr>
        <w:t>444,55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81731E">
        <w:rPr>
          <w:rFonts w:ascii="Times New Roman" w:hAnsi="Times New Roman"/>
          <w:sz w:val="28"/>
          <w:szCs w:val="28"/>
          <w:lang w:eastAsia="ru-RU"/>
        </w:rPr>
        <w:t>5,6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81731E">
        <w:rPr>
          <w:rFonts w:ascii="Times New Roman" w:hAnsi="Times New Roman"/>
          <w:sz w:val="28"/>
          <w:szCs w:val="28"/>
          <w:lang w:eastAsia="ru-RU"/>
        </w:rPr>
        <w:t>1119,17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1731E">
        <w:rPr>
          <w:rFonts w:ascii="Times New Roman" w:hAnsi="Times New Roman"/>
          <w:sz w:val="28"/>
          <w:szCs w:val="28"/>
          <w:lang w:eastAsia="ru-RU"/>
        </w:rPr>
        <w:t>21,2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8173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661F45">
        <w:rPr>
          <w:rFonts w:ascii="Times New Roman" w:hAnsi="Times New Roman"/>
          <w:sz w:val="28"/>
          <w:szCs w:val="28"/>
          <w:lang w:eastAsia="ru-RU"/>
        </w:rPr>
        <w:t>увелич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F45">
        <w:rPr>
          <w:rFonts w:ascii="Times New Roman" w:hAnsi="Times New Roman"/>
          <w:sz w:val="28"/>
          <w:szCs w:val="28"/>
          <w:lang w:eastAsia="ru-RU"/>
        </w:rPr>
        <w:t>21,62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661F45">
        <w:rPr>
          <w:rFonts w:ascii="Times New Roman" w:hAnsi="Times New Roman"/>
          <w:sz w:val="28"/>
          <w:szCs w:val="28"/>
          <w:lang w:eastAsia="ru-RU"/>
        </w:rPr>
        <w:t>2,0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2F83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DF2F83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22189,45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32,0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DF2F83">
        <w:rPr>
          <w:rFonts w:ascii="Times New Roman" w:hAnsi="Times New Roman"/>
          <w:b/>
          <w:bCs/>
          <w:sz w:val="28"/>
          <w:szCs w:val="28"/>
          <w:lang w:eastAsia="ru-RU"/>
        </w:rPr>
        <w:t>1 квартал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DF2F83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0A19F2" w:rsidRPr="00741138" w:rsidTr="000A19F2">
        <w:trPr>
          <w:trHeight w:val="45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квартал 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 года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квартал 2022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0A19F2" w:rsidRPr="00741138" w:rsidTr="000A19F2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9F2" w:rsidRPr="00741138" w:rsidTr="000A19F2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9F2" w:rsidRPr="00741138" w:rsidTr="00741138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9F2" w:rsidRPr="00741138" w:rsidTr="00741138">
        <w:trPr>
          <w:trHeight w:val="19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17599,75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0A19F2" w:rsidRPr="00741138" w:rsidTr="000A19F2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A19F2" w:rsidRPr="00741138" w:rsidTr="000A19F2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A19F2" w:rsidRPr="00741138" w:rsidTr="000A19F2">
        <w:trPr>
          <w:trHeight w:val="10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A19F2" w:rsidRPr="00741138" w:rsidTr="000A19F2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A19F2" w:rsidRPr="00741138" w:rsidTr="000A19F2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A19F2" w:rsidRPr="00741138" w:rsidTr="000A19F2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A19F2" w:rsidRPr="00741138" w:rsidTr="000A19F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83" w:rsidRPr="00741138" w:rsidRDefault="00DF2F83" w:rsidP="000A19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69376,84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22189,45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83" w:rsidRPr="00741138" w:rsidRDefault="00DF2F83" w:rsidP="00DF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7FF" w:rsidRDefault="000F612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поступивших за </w:t>
      </w:r>
      <w:r w:rsidR="000A19F2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E70789">
        <w:rPr>
          <w:rFonts w:ascii="Times New Roman" w:hAnsi="Times New Roman"/>
          <w:sz w:val="28"/>
          <w:szCs w:val="28"/>
          <w:lang w:eastAsia="ru-RU"/>
        </w:rPr>
        <w:t>2</w:t>
      </w:r>
      <w:r w:rsidR="000A19F2">
        <w:rPr>
          <w:rFonts w:ascii="Times New Roman" w:hAnsi="Times New Roman"/>
          <w:sz w:val="28"/>
          <w:szCs w:val="28"/>
          <w:lang w:eastAsia="ru-RU"/>
        </w:rPr>
        <w:t>2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неналоговых доходов наибольший удельный вес составили </w:t>
      </w:r>
      <w:r w:rsidR="009A5537">
        <w:rPr>
          <w:rFonts w:ascii="Times New Roman" w:hAnsi="Times New Roman"/>
          <w:sz w:val="28"/>
          <w:szCs w:val="28"/>
          <w:lang w:eastAsia="ru-RU"/>
        </w:rPr>
        <w:t>д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 w:rsidR="008B102C" w:rsidRPr="008B102C">
        <w:rPr>
          <w:rFonts w:ascii="Times New Roman" w:hAnsi="Times New Roman"/>
          <w:sz w:val="28"/>
          <w:szCs w:val="28"/>
          <w:lang w:eastAsia="ru-RU"/>
        </w:rPr>
        <w:t>оказания платных услуг, компенсация затрат государства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D11CC">
        <w:rPr>
          <w:rFonts w:ascii="Times New Roman" w:hAnsi="Times New Roman"/>
          <w:sz w:val="28"/>
          <w:szCs w:val="28"/>
          <w:lang w:eastAsia="ru-RU"/>
        </w:rPr>
        <w:t>10,2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6D11CC">
        <w:rPr>
          <w:rFonts w:ascii="Times New Roman" w:hAnsi="Times New Roman"/>
          <w:sz w:val="28"/>
          <w:szCs w:val="28"/>
          <w:lang w:eastAsia="ru-RU"/>
        </w:rPr>
        <w:t>2272,91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7F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27FF" w:rsidRPr="008830A4">
        <w:rPr>
          <w:rFonts w:ascii="Times New Roman" w:hAnsi="Times New Roman"/>
          <w:sz w:val="28"/>
          <w:szCs w:val="28"/>
          <w:lang w:eastAsia="ru-RU"/>
        </w:rPr>
        <w:t>)</w:t>
      </w:r>
      <w:r w:rsidR="008830A4" w:rsidRPr="008830A4">
        <w:rPr>
          <w:rFonts w:ascii="Times New Roman" w:hAnsi="Times New Roman"/>
          <w:sz w:val="28"/>
          <w:szCs w:val="28"/>
        </w:rPr>
        <w:t xml:space="preserve"> и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D11CC">
        <w:rPr>
          <w:rFonts w:ascii="Times New Roman" w:hAnsi="Times New Roman"/>
          <w:sz w:val="28"/>
          <w:szCs w:val="28"/>
          <w:lang w:eastAsia="ru-RU"/>
        </w:rPr>
        <w:t>79,3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6D11CC">
        <w:rPr>
          <w:rFonts w:ascii="Times New Roman" w:hAnsi="Times New Roman"/>
          <w:sz w:val="28"/>
          <w:szCs w:val="28"/>
          <w:lang w:eastAsia="ru-RU"/>
        </w:rPr>
        <w:t>17599,75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6D11CC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45CA2">
        <w:rPr>
          <w:rFonts w:ascii="Times New Roman" w:hAnsi="Times New Roman"/>
          <w:sz w:val="28"/>
          <w:szCs w:val="28"/>
          <w:lang w:eastAsia="ru-RU"/>
        </w:rPr>
        <w:t>2719,90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45CA2">
        <w:rPr>
          <w:rFonts w:ascii="Times New Roman" w:hAnsi="Times New Roman"/>
          <w:sz w:val="28"/>
          <w:szCs w:val="28"/>
          <w:lang w:eastAsia="ru-RU"/>
        </w:rPr>
        <w:t>14,0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45CA2">
        <w:rPr>
          <w:rFonts w:ascii="Times New Roman" w:hAnsi="Times New Roman"/>
          <w:sz w:val="28"/>
          <w:szCs w:val="28"/>
          <w:lang w:eastAsia="ru-RU"/>
        </w:rPr>
        <w:t>4086,05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>1 квартал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ED0547">
        <w:rPr>
          <w:rFonts w:ascii="Times New Roman" w:hAnsi="Times New Roman"/>
          <w:bCs/>
          <w:sz w:val="28"/>
          <w:szCs w:val="28"/>
          <w:lang w:eastAsia="ru-RU"/>
        </w:rPr>
        <w:t>338759,77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EE0695">
        <w:rPr>
          <w:rFonts w:ascii="Times New Roman" w:hAnsi="Times New Roman"/>
          <w:bCs/>
          <w:sz w:val="28"/>
          <w:szCs w:val="28"/>
          <w:lang w:eastAsia="ru-RU"/>
        </w:rPr>
        <w:t>22,2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D0547">
        <w:rPr>
          <w:rFonts w:ascii="Times New Roman" w:hAnsi="Times New Roman"/>
          <w:bCs/>
          <w:sz w:val="28"/>
          <w:szCs w:val="28"/>
          <w:lang w:eastAsia="ru-RU"/>
        </w:rPr>
        <w:t>355946,78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D0547">
        <w:rPr>
          <w:rFonts w:ascii="Times New Roman" w:hAnsi="Times New Roman"/>
          <w:bCs/>
          <w:sz w:val="28"/>
          <w:szCs w:val="28"/>
          <w:lang w:eastAsia="ru-RU"/>
        </w:rPr>
        <w:t>1698,43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ED0547">
        <w:rPr>
          <w:rFonts w:ascii="Times New Roman" w:hAnsi="Times New Roman"/>
          <w:sz w:val="28"/>
          <w:szCs w:val="28"/>
        </w:rPr>
        <w:t>18885,44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8173C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ED0547">
        <w:rPr>
          <w:rFonts w:ascii="Times New Roman" w:hAnsi="Times New Roman"/>
          <w:sz w:val="28"/>
          <w:szCs w:val="28"/>
          <w:lang w:eastAsia="ru-RU"/>
        </w:rPr>
        <w:t>109893,00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578F1">
        <w:rPr>
          <w:rFonts w:ascii="Times New Roman" w:hAnsi="Times New Roman"/>
          <w:sz w:val="28"/>
          <w:szCs w:val="28"/>
          <w:lang w:eastAsia="ru-RU"/>
        </w:rPr>
        <w:t>2</w:t>
      </w:r>
      <w:r w:rsidR="00B14C52">
        <w:rPr>
          <w:rFonts w:ascii="Times New Roman" w:hAnsi="Times New Roman"/>
          <w:sz w:val="28"/>
          <w:szCs w:val="28"/>
          <w:lang w:eastAsia="ru-RU"/>
        </w:rPr>
        <w:t>5,0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5578F1">
        <w:rPr>
          <w:rFonts w:ascii="Times New Roman" w:hAnsi="Times New Roman"/>
          <w:sz w:val="28"/>
          <w:szCs w:val="28"/>
          <w:lang w:eastAsia="ru-RU"/>
        </w:rPr>
        <w:t>6503,48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A311CF">
        <w:rPr>
          <w:rFonts w:ascii="Times New Roman" w:hAnsi="Times New Roman"/>
          <w:sz w:val="28"/>
          <w:szCs w:val="28"/>
          <w:lang w:eastAsia="ru-RU"/>
        </w:rPr>
        <w:t>4,0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A311CF">
        <w:rPr>
          <w:rFonts w:ascii="Times New Roman" w:hAnsi="Times New Roman"/>
          <w:bCs/>
          <w:sz w:val="28"/>
          <w:szCs w:val="28"/>
          <w:lang w:eastAsia="ru-RU"/>
        </w:rPr>
        <w:t>239335,47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A311CF">
        <w:rPr>
          <w:rFonts w:ascii="Times New Roman" w:hAnsi="Times New Roman"/>
          <w:bCs/>
          <w:sz w:val="28"/>
          <w:szCs w:val="28"/>
          <w:lang w:eastAsia="ru-RU"/>
        </w:rPr>
        <w:t>26,0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2CBF">
        <w:rPr>
          <w:rFonts w:ascii="Times New Roman" w:hAnsi="Times New Roman"/>
          <w:bCs/>
          <w:sz w:val="28"/>
          <w:szCs w:val="28"/>
          <w:lang w:eastAsia="ru-RU"/>
        </w:rPr>
        <w:t>214,83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2C4299">
        <w:rPr>
          <w:rFonts w:ascii="Times New Roman" w:hAnsi="Times New Roman"/>
          <w:bCs/>
          <w:sz w:val="28"/>
          <w:szCs w:val="28"/>
          <w:lang w:eastAsia="ru-RU"/>
        </w:rPr>
        <w:t>2,6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20721E" w:rsidRPr="0020721E">
        <w:rPr>
          <w:rFonts w:ascii="Times New Roman" w:hAnsi="Times New Roman"/>
          <w:sz w:val="28"/>
          <w:szCs w:val="28"/>
          <w:lang w:eastAsia="ru-RU"/>
        </w:rPr>
        <w:t xml:space="preserve">1901063,05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0721F3">
        <w:rPr>
          <w:rFonts w:ascii="Times New Roman" w:hAnsi="Times New Roman"/>
          <w:sz w:val="28"/>
          <w:szCs w:val="28"/>
          <w:lang w:eastAsia="ru-RU"/>
        </w:rPr>
        <w:t>292522,48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</w:t>
      </w:r>
      <w:r w:rsidR="0020721E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0721F3">
        <w:rPr>
          <w:rFonts w:ascii="Times New Roman" w:hAnsi="Times New Roman"/>
          <w:sz w:val="28"/>
          <w:szCs w:val="28"/>
          <w:lang w:eastAsia="ru-RU"/>
        </w:rPr>
        <w:t>2193585,53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82B">
        <w:rPr>
          <w:rFonts w:ascii="Times New Roman" w:hAnsi="Times New Roman"/>
          <w:sz w:val="28"/>
          <w:szCs w:val="28"/>
          <w:lang w:eastAsia="ru-RU"/>
        </w:rPr>
        <w:t>2173448,14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5D482B">
        <w:rPr>
          <w:rFonts w:ascii="Times New Roman" w:hAnsi="Times New Roman"/>
          <w:sz w:val="28"/>
          <w:szCs w:val="28"/>
          <w:lang w:eastAsia="ru-RU"/>
        </w:rPr>
        <w:t>20137,39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80C6A" w:rsidRDefault="00980C6A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 w:rsidR="002A53E5">
        <w:rPr>
          <w:rFonts w:ascii="Times New Roman" w:hAnsi="Times New Roman"/>
          <w:sz w:val="28"/>
          <w:szCs w:val="28"/>
          <w:lang w:eastAsia="ru-RU"/>
        </w:rPr>
        <w:t xml:space="preserve">м сводной бюджетной росписи за </w:t>
      </w:r>
      <w:r w:rsidR="005D482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807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64E3">
        <w:rPr>
          <w:rFonts w:ascii="Times New Roman" w:hAnsi="Times New Roman"/>
          <w:sz w:val="28"/>
          <w:szCs w:val="28"/>
          <w:lang w:eastAsia="ru-RU"/>
        </w:rPr>
        <w:t>2</w:t>
      </w:r>
      <w:r w:rsidR="005D482B">
        <w:rPr>
          <w:rFonts w:ascii="Times New Roman" w:hAnsi="Times New Roman"/>
          <w:sz w:val="28"/>
          <w:szCs w:val="28"/>
          <w:lang w:eastAsia="ru-RU"/>
        </w:rPr>
        <w:t>2</w:t>
      </w:r>
      <w:r w:rsidR="00DC10AC">
        <w:rPr>
          <w:rFonts w:ascii="Times New Roman" w:hAnsi="Times New Roman"/>
          <w:sz w:val="28"/>
          <w:szCs w:val="28"/>
          <w:lang w:eastAsia="ru-RU"/>
        </w:rPr>
        <w:t xml:space="preserve"> года более 61,7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                 2 </w:t>
      </w:r>
      <w:r w:rsidRPr="00980C6A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570121">
        <w:rPr>
          <w:rFonts w:ascii="Times New Roman" w:hAnsi="Times New Roman"/>
          <w:sz w:val="28"/>
          <w:szCs w:val="28"/>
          <w:lang w:eastAsia="ru-RU"/>
        </w:rPr>
        <w:t>е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программы: «Развитие образования в Ипатовском городском округе Ставропольского края» - </w:t>
      </w:r>
      <w:r w:rsidR="001C0E49">
        <w:rPr>
          <w:rFonts w:ascii="Times New Roman" w:hAnsi="Times New Roman"/>
          <w:sz w:val="28"/>
          <w:szCs w:val="28"/>
          <w:lang w:eastAsia="ru-RU"/>
        </w:rPr>
        <w:t>37,8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1C0E49">
        <w:rPr>
          <w:rFonts w:ascii="Times New Roman" w:hAnsi="Times New Roman"/>
          <w:sz w:val="28"/>
          <w:szCs w:val="28"/>
          <w:lang w:eastAsia="ru-RU"/>
        </w:rPr>
        <w:t>822502,91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Ипатовском городском округе Ставропольского края» - </w:t>
      </w:r>
      <w:r w:rsidR="001C0E49">
        <w:rPr>
          <w:rFonts w:ascii="Times New Roman" w:hAnsi="Times New Roman"/>
          <w:sz w:val="28"/>
          <w:szCs w:val="28"/>
          <w:lang w:eastAsia="ru-RU"/>
        </w:rPr>
        <w:t>24,3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1C0E49">
        <w:rPr>
          <w:rFonts w:ascii="Times New Roman" w:hAnsi="Times New Roman"/>
          <w:sz w:val="28"/>
          <w:szCs w:val="28"/>
          <w:lang w:eastAsia="ru-RU"/>
        </w:rPr>
        <w:t>527326,88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E49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1C0E49">
        <w:rPr>
          <w:rFonts w:ascii="Times New Roman" w:hAnsi="Times New Roman"/>
          <w:sz w:val="28"/>
          <w:szCs w:val="28"/>
          <w:lang w:eastAsia="ru-RU"/>
        </w:rPr>
        <w:t>2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244BBD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1C0E49">
        <w:rPr>
          <w:rFonts w:ascii="Times New Roman" w:hAnsi="Times New Roman"/>
          <w:sz w:val="28"/>
          <w:szCs w:val="28"/>
          <w:lang w:eastAsia="ru-RU"/>
        </w:rPr>
        <w:t>2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C0B05">
        <w:rPr>
          <w:rFonts w:ascii="Times New Roman" w:hAnsi="Times New Roman"/>
          <w:sz w:val="28"/>
          <w:szCs w:val="28"/>
          <w:lang w:eastAsia="ru-RU"/>
        </w:rPr>
        <w:t>426728,93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C0B05">
        <w:rPr>
          <w:rFonts w:ascii="Times New Roman" w:hAnsi="Times New Roman"/>
          <w:sz w:val="28"/>
          <w:szCs w:val="28"/>
          <w:lang w:eastAsia="ru-RU"/>
        </w:rPr>
        <w:t>19,5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03513">
        <w:rPr>
          <w:rFonts w:ascii="Times New Roman" w:hAnsi="Times New Roman"/>
          <w:sz w:val="28"/>
          <w:szCs w:val="28"/>
          <w:lang w:eastAsia="ru-RU"/>
        </w:rPr>
        <w:t>20</w:t>
      </w:r>
      <w:r w:rsidR="00683D64">
        <w:rPr>
          <w:rFonts w:ascii="Times New Roman" w:hAnsi="Times New Roman"/>
          <w:sz w:val="28"/>
          <w:szCs w:val="28"/>
          <w:lang w:eastAsia="ru-RU"/>
        </w:rPr>
        <w:t>2</w:t>
      </w:r>
      <w:r w:rsidR="005E6DC7">
        <w:rPr>
          <w:rFonts w:ascii="Times New Roman" w:hAnsi="Times New Roman"/>
          <w:sz w:val="28"/>
          <w:szCs w:val="28"/>
          <w:lang w:eastAsia="ru-RU"/>
        </w:rPr>
        <w:t>1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8160BF">
        <w:rPr>
          <w:rFonts w:ascii="Times New Roman" w:hAnsi="Times New Roman"/>
          <w:sz w:val="28"/>
          <w:szCs w:val="28"/>
          <w:lang w:eastAsia="ru-RU"/>
        </w:rPr>
        <w:t>20075,53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4710" w:rsidRP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85E45">
        <w:rPr>
          <w:rFonts w:ascii="Times New Roman" w:hAnsi="Times New Roman"/>
          <w:sz w:val="28"/>
          <w:szCs w:val="28"/>
          <w:lang w:eastAsia="ru-RU"/>
        </w:rPr>
        <w:t>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285E45">
        <w:rPr>
          <w:rFonts w:ascii="Times New Roman" w:hAnsi="Times New Roman"/>
          <w:sz w:val="28"/>
          <w:szCs w:val="28"/>
          <w:lang w:eastAsia="ru-RU"/>
        </w:rPr>
        <w:t>4,4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285E45">
        <w:rPr>
          <w:rFonts w:ascii="Times New Roman" w:hAnsi="Times New Roman"/>
          <w:sz w:val="28"/>
          <w:szCs w:val="28"/>
          <w:lang w:eastAsia="ru-RU"/>
        </w:rPr>
        <w:t>18,4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285E45"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 w:rsidR="00285E45"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 w:rsidR="00285E45"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85E45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5%: по </w:t>
      </w:r>
      <w:r w:rsidR="00D505C7"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4,</w:t>
      </w:r>
      <w:r w:rsidR="00D505C7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 w:rsidR="00D505C7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 w:rsidR="00D505C7"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ого бюджета расходы исполнены выше среднего уровня (в диапазоне от </w:t>
      </w:r>
      <w:r w:rsidR="000B71FC">
        <w:rPr>
          <w:rFonts w:ascii="Times New Roman" w:hAnsi="Times New Roman"/>
          <w:sz w:val="28"/>
          <w:szCs w:val="28"/>
          <w:lang w:eastAsia="ru-RU"/>
        </w:rPr>
        <w:t>19,8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0B71FC">
        <w:rPr>
          <w:rFonts w:ascii="Times New Roman" w:hAnsi="Times New Roman"/>
          <w:sz w:val="28"/>
          <w:szCs w:val="28"/>
          <w:lang w:eastAsia="ru-RU"/>
        </w:rPr>
        <w:t>31,6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0B71F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674710">
        <w:rPr>
          <w:rFonts w:ascii="Times New Roman" w:hAnsi="Times New Roman"/>
          <w:sz w:val="28"/>
          <w:szCs w:val="28"/>
          <w:lang w:eastAsia="ru-RU"/>
        </w:rPr>
        <w:t>главн</w:t>
      </w:r>
      <w:r w:rsidR="000B71FC">
        <w:rPr>
          <w:rFonts w:ascii="Times New Roman" w:hAnsi="Times New Roman"/>
          <w:sz w:val="28"/>
          <w:szCs w:val="28"/>
          <w:lang w:eastAsia="ru-RU"/>
        </w:rPr>
        <w:t>ому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0B71FC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более 25%: управление </w:t>
      </w:r>
      <w:r w:rsidR="000B71FC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</w:t>
      </w:r>
      <w:r w:rsidR="00AD2114">
        <w:rPr>
          <w:rFonts w:ascii="Times New Roman" w:hAnsi="Times New Roman"/>
          <w:sz w:val="28"/>
          <w:szCs w:val="28"/>
          <w:lang w:eastAsia="ru-RU"/>
        </w:rPr>
        <w:t>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114">
        <w:rPr>
          <w:rFonts w:ascii="Times New Roman" w:hAnsi="Times New Roman"/>
          <w:sz w:val="28"/>
          <w:szCs w:val="28"/>
          <w:lang w:eastAsia="ru-RU"/>
        </w:rPr>
        <w:t>31,6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9C273F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сформированы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75496A" w:rsidRDefault="008160BF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01.04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решения о местном бюджете на реализацию муниципальных программ</w:t>
      </w:r>
      <w:r w:rsidR="003F6731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="00701146">
        <w:rPr>
          <w:rFonts w:ascii="Times New Roman" w:hAnsi="Times New Roman"/>
          <w:sz w:val="28"/>
          <w:szCs w:val="28"/>
          <w:lang w:eastAsia="ru-RU"/>
        </w:rPr>
        <w:t>а</w:t>
      </w:r>
      <w:r w:rsidR="003F6731">
        <w:rPr>
          <w:rFonts w:ascii="Times New Roman" w:hAnsi="Times New Roman"/>
          <w:sz w:val="28"/>
          <w:szCs w:val="28"/>
          <w:lang w:eastAsia="ru-RU"/>
        </w:rPr>
        <w:t>вляли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FC4">
        <w:rPr>
          <w:rFonts w:ascii="Times New Roman" w:hAnsi="Times New Roman"/>
          <w:sz w:val="28"/>
          <w:szCs w:val="28"/>
          <w:lang w:eastAsia="ru-RU"/>
        </w:rPr>
        <w:t>2173448,14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сводной бюджетной росписи с изменениями – </w:t>
      </w:r>
      <w:r w:rsidR="00A04FC4">
        <w:rPr>
          <w:rFonts w:ascii="Times New Roman" w:hAnsi="Times New Roman"/>
          <w:sz w:val="28"/>
          <w:szCs w:val="28"/>
          <w:lang w:eastAsia="ru-RU"/>
        </w:rPr>
        <w:t>2173448,14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6BE7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F6BE7" w:rsidRPr="000137CB">
        <w:rPr>
          <w:rFonts w:ascii="Times New Roman" w:hAnsi="Times New Roman"/>
          <w:sz w:val="28"/>
          <w:szCs w:val="28"/>
          <w:lang w:eastAsia="ru-RU"/>
        </w:rPr>
        <w:t>99,</w:t>
      </w:r>
      <w:r w:rsidR="00B31B39">
        <w:rPr>
          <w:rFonts w:ascii="Times New Roman" w:hAnsi="Times New Roman"/>
          <w:sz w:val="28"/>
          <w:szCs w:val="28"/>
          <w:lang w:eastAsia="ru-RU"/>
        </w:rPr>
        <w:t>1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B58FF">
        <w:rPr>
          <w:rFonts w:ascii="Times New Roman" w:hAnsi="Times New Roman"/>
          <w:sz w:val="28"/>
          <w:szCs w:val="28"/>
          <w:lang w:eastAsia="ru-RU"/>
        </w:rPr>
        <w:t xml:space="preserve">84752,02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A0188">
        <w:rPr>
          <w:rFonts w:ascii="Times New Roman" w:hAnsi="Times New Roman"/>
          <w:sz w:val="28"/>
          <w:szCs w:val="28"/>
          <w:lang w:eastAsia="ru-RU"/>
        </w:rPr>
        <w:t>4,1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B31B39">
        <w:rPr>
          <w:rFonts w:ascii="Times New Roman" w:hAnsi="Times New Roman"/>
          <w:sz w:val="28"/>
          <w:szCs w:val="28"/>
          <w:lang w:eastAsia="ru-RU"/>
        </w:rPr>
        <w:t>1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36EC">
        <w:rPr>
          <w:rFonts w:ascii="Times New Roman" w:hAnsi="Times New Roman"/>
          <w:sz w:val="28"/>
          <w:szCs w:val="28"/>
          <w:lang w:eastAsia="ru-RU"/>
        </w:rPr>
        <w:t>2088696,12</w:t>
      </w:r>
      <w:r w:rsidR="0043345A" w:rsidRPr="00433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9C273F" w:rsidRPr="00142EC8" w:rsidRDefault="00BC070C" w:rsidP="00BC070C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95848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</w:t>
      </w:r>
      <w:r w:rsidR="001C2DA3">
        <w:rPr>
          <w:rFonts w:ascii="Times New Roman" w:hAnsi="Times New Roman"/>
          <w:sz w:val="28"/>
          <w:szCs w:val="28"/>
          <w:lang w:eastAsia="ru-RU"/>
        </w:rPr>
        <w:t xml:space="preserve"> относительно первоначальных бюджетных ассигнований)</w:t>
      </w:r>
      <w:r w:rsidR="0054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ADC">
        <w:rPr>
          <w:rFonts w:ascii="Times New Roman" w:hAnsi="Times New Roman"/>
          <w:sz w:val="28"/>
          <w:szCs w:val="28"/>
          <w:lang w:eastAsia="ru-RU"/>
        </w:rPr>
        <w:t>произведено по муниципальным пр</w:t>
      </w:r>
      <w:r w:rsidR="003D0168">
        <w:rPr>
          <w:rFonts w:ascii="Times New Roman" w:hAnsi="Times New Roman"/>
          <w:sz w:val="28"/>
          <w:szCs w:val="28"/>
          <w:lang w:eastAsia="ru-RU"/>
        </w:rPr>
        <w:t>о</w:t>
      </w:r>
      <w:r w:rsidR="00067ADC">
        <w:rPr>
          <w:rFonts w:ascii="Times New Roman" w:hAnsi="Times New Roman"/>
          <w:sz w:val="28"/>
          <w:szCs w:val="28"/>
          <w:lang w:eastAsia="ru-RU"/>
        </w:rPr>
        <w:t>граммам</w:t>
      </w:r>
      <w:r w:rsidR="003D016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>«</w:t>
      </w:r>
      <w:r w:rsidR="00406C9B" w:rsidRPr="00406C9B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 Ипатовского городского округа Ставропольского края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 xml:space="preserve">» –  </w:t>
      </w:r>
      <w:r w:rsidR="006631B5">
        <w:rPr>
          <w:rFonts w:ascii="Times New Roman" w:hAnsi="Times New Roman"/>
          <w:sz w:val="28"/>
          <w:szCs w:val="28"/>
          <w:lang w:eastAsia="ru-RU"/>
        </w:rPr>
        <w:t>более чем в 8 раз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3C69B4">
        <w:rPr>
          <w:rFonts w:ascii="Times New Roman" w:hAnsi="Times New Roman"/>
          <w:sz w:val="28"/>
          <w:szCs w:val="28"/>
          <w:lang w:eastAsia="ru-RU"/>
        </w:rPr>
        <w:t>220855,82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="00142EC8" w:rsidRPr="00142EC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631B5" w:rsidRPr="006631B5">
        <w:rPr>
          <w:rFonts w:ascii="Times New Roman" w:hAnsi="Times New Roman"/>
          <w:bCs/>
          <w:sz w:val="28"/>
          <w:szCs w:val="28"/>
          <w:lang w:eastAsia="ru-RU"/>
        </w:rPr>
        <w:t xml:space="preserve">Развитие жилищно-коммунального хозяйства, защита населения и территории от чрезвычайных ситуаций </w:t>
      </w:r>
      <w:r w:rsidR="00142EC8" w:rsidRPr="00142EC8">
        <w:rPr>
          <w:rFonts w:ascii="Times New Roman" w:hAnsi="Times New Roman"/>
          <w:bCs/>
          <w:sz w:val="28"/>
          <w:szCs w:val="28"/>
          <w:lang w:eastAsia="ru-RU"/>
        </w:rPr>
        <w:t>в Ипатовском городс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ком округе Ставропольского края»</w:t>
      </w:r>
      <w:r w:rsidR="00CC5E4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029CD">
        <w:rPr>
          <w:rFonts w:ascii="Times New Roman" w:hAnsi="Times New Roman"/>
          <w:sz w:val="28"/>
          <w:szCs w:val="28"/>
          <w:lang w:eastAsia="ru-RU"/>
        </w:rPr>
        <w:t>45,5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1765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31B5">
        <w:rPr>
          <w:rFonts w:ascii="Times New Roman" w:hAnsi="Times New Roman"/>
          <w:sz w:val="28"/>
          <w:szCs w:val="28"/>
          <w:lang w:eastAsia="ru-RU"/>
        </w:rPr>
        <w:t>45729,65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B91900" w:rsidRPr="00B91900">
        <w:rPr>
          <w:rFonts w:ascii="Times New Roman" w:hAnsi="Times New Roman"/>
          <w:sz w:val="28"/>
          <w:szCs w:val="28"/>
          <w:lang w:eastAsia="ru-RU"/>
        </w:rPr>
        <w:t>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</w:t>
      </w:r>
      <w:r w:rsidR="00C029CD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C029C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C029CD">
        <w:rPr>
          <w:rFonts w:ascii="Times New Roman" w:hAnsi="Times New Roman"/>
          <w:sz w:val="28"/>
          <w:szCs w:val="28"/>
          <w:lang w:eastAsia="ru-RU"/>
        </w:rPr>
        <w:t>424838</w:t>
      </w:r>
      <w:r w:rsidR="00B03B9D">
        <w:rPr>
          <w:rFonts w:ascii="Times New Roman" w:hAnsi="Times New Roman"/>
          <w:sz w:val="28"/>
          <w:szCs w:val="28"/>
          <w:lang w:eastAsia="ru-RU"/>
        </w:rPr>
        <w:t>,</w:t>
      </w:r>
      <w:r w:rsidR="00C029CD">
        <w:rPr>
          <w:rFonts w:ascii="Times New Roman" w:hAnsi="Times New Roman"/>
          <w:sz w:val="28"/>
          <w:szCs w:val="28"/>
          <w:lang w:eastAsia="ru-RU"/>
        </w:rPr>
        <w:t>21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4770BE">
        <w:rPr>
          <w:rFonts w:ascii="Times New Roman" w:hAnsi="Times New Roman"/>
          <w:sz w:val="28"/>
          <w:szCs w:val="28"/>
          <w:lang w:eastAsia="ru-RU"/>
        </w:rPr>
        <w:t>19</w:t>
      </w:r>
      <w:r w:rsidR="00B03B9D">
        <w:rPr>
          <w:rFonts w:ascii="Times New Roman" w:hAnsi="Times New Roman"/>
          <w:sz w:val="28"/>
          <w:szCs w:val="28"/>
          <w:lang w:eastAsia="ru-RU"/>
        </w:rPr>
        <w:t>,5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7C5DFD">
        <w:rPr>
          <w:rFonts w:ascii="Times New Roman" w:hAnsi="Times New Roman"/>
          <w:sz w:val="28"/>
          <w:szCs w:val="28"/>
          <w:lang w:eastAsia="ru-RU"/>
        </w:rPr>
        <w:t>0,1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11120E" w:rsidRPr="00741138" w:rsidTr="0011120E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установленные сводной бюджетной росписью на 01.04.2022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11120E" w:rsidRPr="00741138" w:rsidTr="0011120E">
        <w:trPr>
          <w:trHeight w:val="20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01.04.2022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% к сводной бюджетной росписи на 01.04.2022 года</w:t>
            </w:r>
          </w:p>
        </w:tc>
      </w:tr>
      <w:tr w:rsidR="0011120E" w:rsidRPr="00741138" w:rsidTr="0011120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2173448,13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424838,20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11120E" w:rsidRPr="00741138" w:rsidTr="0011120E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не осуществлялось</w:t>
            </w:r>
          </w:p>
        </w:tc>
      </w:tr>
      <w:tr w:rsidR="0011120E" w:rsidRPr="00741138" w:rsidTr="001112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2462,21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0E" w:rsidRPr="00741138" w:rsidTr="0011120E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901ED3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E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22005,04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0E" w:rsidRPr="00741138" w:rsidTr="0011120E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на уровне 1,0% - 10,0 %</w:t>
            </w:r>
          </w:p>
        </w:tc>
      </w:tr>
      <w:tr w:rsidR="0011120E" w:rsidRPr="00741138" w:rsidTr="0011120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251867,82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1120E" w:rsidRPr="00741138" w:rsidTr="0011120E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4854,28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11120E" w:rsidRPr="00741138" w:rsidTr="0011120E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на уровне  10,1 % - 20,0%</w:t>
            </w:r>
          </w:p>
        </w:tc>
      </w:tr>
      <w:tr w:rsidR="0011120E" w:rsidRPr="00741138" w:rsidTr="0011120E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146297,57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15627,78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11120E" w:rsidRPr="00741138" w:rsidTr="001112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16928,3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11120E" w:rsidRPr="00741138" w:rsidTr="001112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14933,52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2302,95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11120E" w:rsidRPr="00741138" w:rsidTr="0011120E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4891,16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11120E" w:rsidRPr="00741138" w:rsidTr="0011120E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158455,16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28486,25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1120E" w:rsidRPr="00741138" w:rsidTr="001112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822502,91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162881,93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11120E" w:rsidRPr="00741138" w:rsidTr="0011120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44067,5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8819,67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120E" w:rsidRPr="00741138" w:rsidTr="0011120E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на уровне  более 20,1%</w:t>
            </w:r>
          </w:p>
        </w:tc>
      </w:tr>
      <w:tr w:rsidR="0011120E" w:rsidRPr="00741138" w:rsidTr="0011120E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138218,6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28801,25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11120E" w:rsidRPr="00741138" w:rsidTr="0011120E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18637,18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4416,88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11120E" w:rsidRPr="00741138" w:rsidTr="0011120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527326,88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166628,29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0E" w:rsidRPr="00741138" w:rsidRDefault="0011120E" w:rsidP="00111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1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</w:tbl>
    <w:p w:rsidR="00321E4C" w:rsidRDefault="00321E4C" w:rsidP="0011120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A95" w:rsidRDefault="00CF4A95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95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не осуществлялось исполнение расходов по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A95">
        <w:rPr>
          <w:rFonts w:ascii="Times New Roman" w:hAnsi="Times New Roman"/>
          <w:sz w:val="28"/>
          <w:szCs w:val="28"/>
          <w:lang w:eastAsia="ru-RU"/>
        </w:rPr>
        <w:t xml:space="preserve"> программам: «Малое село», «</w:t>
      </w:r>
      <w:r w:rsidR="00901ED3" w:rsidRPr="00901ED3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bookmarkStart w:id="0" w:name="_GoBack"/>
      <w:bookmarkEnd w:id="0"/>
      <w:r w:rsidR="00280744">
        <w:rPr>
          <w:rFonts w:ascii="Times New Roman" w:hAnsi="Times New Roman"/>
          <w:sz w:val="28"/>
          <w:szCs w:val="28"/>
          <w:lang w:eastAsia="ru-RU"/>
        </w:rPr>
        <w:t>»</w:t>
      </w:r>
      <w:r w:rsidRPr="00CF4A95">
        <w:rPr>
          <w:rFonts w:ascii="Times New Roman" w:hAnsi="Times New Roman"/>
          <w:sz w:val="28"/>
          <w:szCs w:val="28"/>
          <w:lang w:eastAsia="ru-RU"/>
        </w:rPr>
        <w:t>.</w:t>
      </w:r>
    </w:p>
    <w:p w:rsidR="00280744" w:rsidRDefault="00280744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>По состоянию на 01 апреля 202</w:t>
      </w:r>
      <w:r w:rsidR="00036A25">
        <w:rPr>
          <w:rFonts w:ascii="Times New Roman" w:hAnsi="Times New Roman"/>
          <w:sz w:val="28"/>
          <w:szCs w:val="28"/>
          <w:lang w:eastAsia="ru-RU"/>
        </w:rPr>
        <w:t>2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 </w:t>
      </w:r>
      <w:r w:rsidR="00036A25">
        <w:rPr>
          <w:rFonts w:ascii="Times New Roman" w:hAnsi="Times New Roman"/>
          <w:sz w:val="28"/>
          <w:szCs w:val="28"/>
          <w:lang w:eastAsia="ru-RU"/>
        </w:rPr>
        <w:t xml:space="preserve">1,0 % - 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10,0 % исполнены расходы  по </w:t>
      </w:r>
      <w:r w:rsidR="00036A25">
        <w:rPr>
          <w:rFonts w:ascii="Times New Roman" w:hAnsi="Times New Roman"/>
          <w:sz w:val="28"/>
          <w:szCs w:val="28"/>
          <w:lang w:eastAsia="ru-RU"/>
        </w:rPr>
        <w:t>2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36A25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B7859">
        <w:rPr>
          <w:rFonts w:ascii="Times New Roman" w:hAnsi="Times New Roman"/>
          <w:sz w:val="28"/>
          <w:szCs w:val="28"/>
          <w:lang w:eastAsia="ru-RU"/>
        </w:rPr>
        <w:t>14,3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10,1 % - 20,0 % по </w:t>
      </w:r>
      <w:r w:rsidR="00C02CA9">
        <w:rPr>
          <w:rFonts w:ascii="Times New Roman" w:hAnsi="Times New Roman"/>
          <w:sz w:val="28"/>
          <w:szCs w:val="28"/>
          <w:lang w:eastAsia="ru-RU"/>
        </w:rPr>
        <w:t>7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2B7859">
        <w:rPr>
          <w:rFonts w:ascii="Times New Roman" w:hAnsi="Times New Roman"/>
          <w:sz w:val="28"/>
          <w:szCs w:val="28"/>
          <w:lang w:eastAsia="ru-RU"/>
        </w:rPr>
        <w:t>50,0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более 20,1 %  по </w:t>
      </w:r>
      <w:r w:rsidR="002B7859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2B7859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B7859">
        <w:rPr>
          <w:rFonts w:ascii="Times New Roman" w:hAnsi="Times New Roman"/>
          <w:sz w:val="28"/>
          <w:szCs w:val="28"/>
          <w:lang w:eastAsia="ru-RU"/>
        </w:rPr>
        <w:t>21,4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lastRenderedPageBreak/>
        <w:t>За отчетный период исполнение расходов ниже средне</w:t>
      </w:r>
      <w:r w:rsidR="00D85611">
        <w:rPr>
          <w:rFonts w:ascii="Times New Roman" w:hAnsi="Times New Roman"/>
          <w:sz w:val="28"/>
          <w:szCs w:val="28"/>
          <w:lang w:eastAsia="ru-RU"/>
        </w:rPr>
        <w:t>го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DE619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611">
        <w:rPr>
          <w:rFonts w:ascii="Times New Roman" w:hAnsi="Times New Roman"/>
          <w:sz w:val="28"/>
          <w:szCs w:val="28"/>
          <w:lang w:eastAsia="ru-RU"/>
        </w:rPr>
        <w:t>округ</w:t>
      </w:r>
      <w:r w:rsidR="00DE6191">
        <w:rPr>
          <w:rFonts w:ascii="Times New Roman" w:hAnsi="Times New Roman"/>
          <w:sz w:val="28"/>
          <w:szCs w:val="28"/>
          <w:lang w:eastAsia="ru-RU"/>
        </w:rPr>
        <w:t>у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сложилось по 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D86">
        <w:rPr>
          <w:rFonts w:ascii="Times New Roman" w:hAnsi="Times New Roman"/>
          <w:sz w:val="28"/>
          <w:szCs w:val="28"/>
          <w:lang w:eastAsia="ru-RU"/>
        </w:rPr>
        <w:t>7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программам (менее </w:t>
      </w:r>
      <w:r w:rsidR="00D85611">
        <w:rPr>
          <w:rFonts w:ascii="Times New Roman" w:hAnsi="Times New Roman"/>
          <w:sz w:val="28"/>
          <w:szCs w:val="28"/>
          <w:lang w:eastAsia="ru-RU"/>
        </w:rPr>
        <w:t>19,5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%). По </w:t>
      </w:r>
      <w:r w:rsidR="00BE4095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E649D3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E4095">
        <w:rPr>
          <w:rFonts w:ascii="Times New Roman" w:hAnsi="Times New Roman"/>
          <w:sz w:val="28"/>
          <w:szCs w:val="28"/>
          <w:lang w:eastAsia="ru-RU"/>
        </w:rPr>
        <w:t>ам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10%: «</w:t>
      </w:r>
      <w:r w:rsidR="00BE4095" w:rsidRPr="00BE4095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движения»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E4095">
        <w:rPr>
          <w:rFonts w:ascii="Times New Roman" w:hAnsi="Times New Roman"/>
          <w:sz w:val="28"/>
          <w:szCs w:val="28"/>
          <w:lang w:eastAsia="ru-RU"/>
        </w:rPr>
        <w:t>1</w:t>
      </w:r>
      <w:r w:rsidRPr="00E649D3">
        <w:rPr>
          <w:rFonts w:ascii="Times New Roman" w:hAnsi="Times New Roman"/>
          <w:sz w:val="28"/>
          <w:szCs w:val="28"/>
          <w:lang w:eastAsia="ru-RU"/>
        </w:rPr>
        <w:t>,5% показателя сводной росписи (в аналогичном периоде 202</w:t>
      </w:r>
      <w:r w:rsidR="00BE4095">
        <w:rPr>
          <w:rFonts w:ascii="Times New Roman" w:hAnsi="Times New Roman"/>
          <w:sz w:val="28"/>
          <w:szCs w:val="28"/>
          <w:lang w:eastAsia="ru-RU"/>
        </w:rPr>
        <w:t>1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 исполнение составило 10,5</w:t>
      </w:r>
      <w:r w:rsidR="00F240A6">
        <w:rPr>
          <w:rFonts w:ascii="Times New Roman" w:hAnsi="Times New Roman"/>
          <w:sz w:val="28"/>
          <w:szCs w:val="28"/>
          <w:lang w:eastAsia="ru-RU"/>
        </w:rPr>
        <w:t>), «</w:t>
      </w:r>
      <w:r w:rsidR="00F240A6" w:rsidRPr="00F240A6">
        <w:rPr>
          <w:rFonts w:ascii="Times New Roman" w:hAnsi="Times New Roman"/>
          <w:sz w:val="28"/>
          <w:szCs w:val="28"/>
          <w:lang w:eastAsia="ru-RU"/>
        </w:rPr>
        <w:t>Развитие сельского хозяйства</w:t>
      </w:r>
      <w:r w:rsidR="00F240A6">
        <w:rPr>
          <w:rFonts w:ascii="Times New Roman" w:hAnsi="Times New Roman"/>
          <w:sz w:val="28"/>
          <w:szCs w:val="28"/>
          <w:lang w:eastAsia="ru-RU"/>
        </w:rPr>
        <w:t>»</w:t>
      </w:r>
      <w:r w:rsidR="00C27F65">
        <w:rPr>
          <w:rFonts w:ascii="Times New Roman" w:hAnsi="Times New Roman"/>
          <w:sz w:val="28"/>
          <w:szCs w:val="28"/>
          <w:lang w:eastAsia="ru-RU"/>
        </w:rPr>
        <w:t xml:space="preserve"> - 0,1 % (</w:t>
      </w:r>
      <w:r w:rsidR="002C639E">
        <w:rPr>
          <w:rFonts w:ascii="Times New Roman" w:hAnsi="Times New Roman"/>
          <w:sz w:val="28"/>
          <w:szCs w:val="28"/>
          <w:lang w:eastAsia="ru-RU"/>
        </w:rPr>
        <w:t>12,5 % соответственно)</w:t>
      </w:r>
      <w:r w:rsidRPr="00E649D3">
        <w:rPr>
          <w:rFonts w:ascii="Times New Roman" w:hAnsi="Times New Roman"/>
          <w:sz w:val="28"/>
          <w:szCs w:val="28"/>
          <w:lang w:eastAsia="ru-RU"/>
        </w:rPr>
        <w:t>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указанным программам в отчетном квартале обусловлен, в том числе, планированием ряда мероприятий на II – IV кварталы 202</w:t>
      </w:r>
      <w:r w:rsidR="002C639E">
        <w:rPr>
          <w:rFonts w:ascii="Times New Roman" w:hAnsi="Times New Roman"/>
          <w:sz w:val="28"/>
          <w:szCs w:val="28"/>
          <w:lang w:eastAsia="ru-RU"/>
        </w:rPr>
        <w:t>2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A6B58" w:rsidRDefault="00CA6B58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B58">
        <w:rPr>
          <w:rFonts w:ascii="Times New Roman" w:hAnsi="Times New Roman"/>
          <w:sz w:val="28"/>
          <w:szCs w:val="28"/>
          <w:lang w:eastAsia="ru-RU"/>
        </w:rPr>
        <w:t>В отчетном периоде предусмотрены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ассигнования на реализацию 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5 региональных проектов Ставропольского края, интегрированных в состав программ, с объемом финансирования в сумме </w:t>
      </w:r>
      <w:r>
        <w:rPr>
          <w:rFonts w:ascii="Times New Roman" w:hAnsi="Times New Roman"/>
          <w:sz w:val="28"/>
          <w:szCs w:val="28"/>
          <w:lang w:eastAsia="ru-RU"/>
        </w:rPr>
        <w:t>117075,02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373D6">
        <w:rPr>
          <w:rFonts w:ascii="Times New Roman" w:hAnsi="Times New Roman"/>
          <w:sz w:val="28"/>
          <w:szCs w:val="28"/>
          <w:lang w:eastAsia="ru-RU"/>
        </w:rPr>
        <w:t>5,4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A373D6">
        <w:rPr>
          <w:rFonts w:ascii="Times New Roman" w:hAnsi="Times New Roman"/>
          <w:sz w:val="28"/>
          <w:szCs w:val="28"/>
          <w:lang w:eastAsia="ru-RU"/>
        </w:rPr>
        <w:t>уменьш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A373D6">
        <w:rPr>
          <w:rFonts w:ascii="Times New Roman" w:hAnsi="Times New Roman"/>
          <w:sz w:val="28"/>
          <w:szCs w:val="28"/>
          <w:lang w:eastAsia="ru-RU"/>
        </w:rPr>
        <w:t>11969,71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на 12,2% (в 202</w:t>
      </w:r>
      <w:r w:rsidR="00A373D6">
        <w:rPr>
          <w:rFonts w:ascii="Times New Roman" w:hAnsi="Times New Roman"/>
          <w:sz w:val="28"/>
          <w:szCs w:val="28"/>
          <w:lang w:eastAsia="ru-RU"/>
        </w:rPr>
        <w:t>1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243ACA">
        <w:rPr>
          <w:rFonts w:ascii="Times New Roman" w:hAnsi="Times New Roman"/>
          <w:sz w:val="28"/>
          <w:szCs w:val="28"/>
          <w:lang w:eastAsia="ru-RU"/>
        </w:rPr>
        <w:t>129044,73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243ACA" w:rsidRDefault="00243ACA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 w:rsidR="000C1FD2">
        <w:rPr>
          <w:rFonts w:ascii="Times New Roman" w:hAnsi="Times New Roman"/>
          <w:sz w:val="28"/>
          <w:szCs w:val="28"/>
          <w:lang w:eastAsia="ru-RU"/>
        </w:rPr>
        <w:t>4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«Жилье и городская среда», «Демография»).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7505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 апреля 202</w:t>
      </w:r>
      <w:r w:rsidR="00750504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750504">
        <w:rPr>
          <w:rFonts w:ascii="Times New Roman" w:hAnsi="Times New Roman"/>
          <w:sz w:val="28"/>
          <w:szCs w:val="28"/>
          <w:lang w:eastAsia="ru-RU"/>
        </w:rPr>
        <w:t>24237,82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50504">
        <w:rPr>
          <w:rFonts w:ascii="Times New Roman" w:hAnsi="Times New Roman"/>
          <w:sz w:val="28"/>
          <w:szCs w:val="28"/>
          <w:lang w:eastAsia="ru-RU"/>
        </w:rPr>
        <w:t>20,7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75050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 w:rsidR="00750504">
        <w:rPr>
          <w:rFonts w:ascii="Times New Roman" w:hAnsi="Times New Roman"/>
          <w:sz w:val="28"/>
          <w:szCs w:val="28"/>
          <w:lang w:eastAsia="ru-RU"/>
        </w:rPr>
        <w:t>уменьш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8C7525">
        <w:rPr>
          <w:rFonts w:ascii="Times New Roman" w:hAnsi="Times New Roman"/>
          <w:sz w:val="28"/>
          <w:szCs w:val="28"/>
          <w:lang w:eastAsia="ru-RU"/>
        </w:rPr>
        <w:t>359,96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C7525">
        <w:rPr>
          <w:rFonts w:ascii="Times New Roman" w:hAnsi="Times New Roman"/>
          <w:sz w:val="28"/>
          <w:szCs w:val="28"/>
          <w:lang w:eastAsia="ru-RU"/>
        </w:rPr>
        <w:t>на 1,5%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квартал 202</w:t>
      </w:r>
      <w:r w:rsidR="00167F4D">
        <w:rPr>
          <w:rFonts w:ascii="Times New Roman" w:hAnsi="Times New Roman"/>
          <w:sz w:val="28"/>
          <w:szCs w:val="28"/>
          <w:lang w:eastAsia="ru-RU"/>
        </w:rPr>
        <w:t>1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C7525">
        <w:rPr>
          <w:rFonts w:ascii="Times New Roman" w:hAnsi="Times New Roman"/>
          <w:sz w:val="28"/>
          <w:szCs w:val="28"/>
          <w:lang w:eastAsia="ru-RU"/>
        </w:rPr>
        <w:t>24597,78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583987">
        <w:rPr>
          <w:rFonts w:ascii="Times New Roman" w:hAnsi="Times New Roman"/>
          <w:sz w:val="28"/>
          <w:szCs w:val="28"/>
          <w:lang w:eastAsia="ru-RU"/>
        </w:rPr>
        <w:t>92,0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 w:rsidR="00583987"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83987"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«Демография» </w:t>
      </w:r>
      <w:r w:rsidR="00583987">
        <w:rPr>
          <w:rFonts w:ascii="Times New Roman" w:hAnsi="Times New Roman"/>
          <w:sz w:val="28"/>
          <w:szCs w:val="28"/>
          <w:lang w:eastAsia="ru-RU"/>
        </w:rPr>
        <w:t>- 92,3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583987">
        <w:rPr>
          <w:rFonts w:ascii="Times New Roman" w:hAnsi="Times New Roman"/>
          <w:sz w:val="28"/>
          <w:szCs w:val="28"/>
          <w:lang w:eastAsia="ru-RU"/>
        </w:rPr>
        <w:t>22380,88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DE324D">
        <w:rPr>
          <w:rFonts w:ascii="Times New Roman" w:hAnsi="Times New Roman"/>
          <w:sz w:val="28"/>
          <w:szCs w:val="28"/>
          <w:lang w:eastAsia="ru-RU"/>
        </w:rPr>
        <w:t>.04.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583987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исполнение расходов ниже средне</w:t>
      </w:r>
      <w:r w:rsidR="00ED25F1">
        <w:rPr>
          <w:rFonts w:ascii="Times New Roman" w:hAnsi="Times New Roman"/>
          <w:sz w:val="28"/>
          <w:szCs w:val="28"/>
          <w:lang w:eastAsia="ru-RU"/>
        </w:rPr>
        <w:t>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ED25F1">
        <w:rPr>
          <w:rFonts w:ascii="Times New Roman" w:hAnsi="Times New Roman"/>
          <w:sz w:val="28"/>
          <w:szCs w:val="28"/>
          <w:lang w:eastAsia="ru-RU"/>
        </w:rPr>
        <w:t xml:space="preserve">по округу </w:t>
      </w:r>
      <w:r w:rsidR="006277DB">
        <w:rPr>
          <w:rFonts w:ascii="Times New Roman" w:hAnsi="Times New Roman"/>
          <w:sz w:val="28"/>
          <w:szCs w:val="28"/>
          <w:lang w:eastAsia="ru-RU"/>
        </w:rPr>
        <w:t>(менее 20,7%) сложилось по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</w:t>
      </w:r>
      <w:r w:rsidR="008235AE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8235A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235AE" w:rsidRPr="008235AE">
        <w:rPr>
          <w:rFonts w:ascii="Times New Roman" w:hAnsi="Times New Roman"/>
          <w:sz w:val="28"/>
          <w:szCs w:val="28"/>
          <w:lang w:eastAsia="ru-RU"/>
        </w:rPr>
        <w:t>«Современная школа» (кассовое исполнение составило 1806,43 тыс. рублей или 11,9% показателя сводной бюджетной росписи)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, при этом по </w:t>
      </w:r>
      <w:r w:rsidR="0051592E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кассовое исполнение не осуществлялось, из них по региональным проектам: «</w:t>
      </w:r>
      <w:r w:rsidR="0051592E"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CC5340">
        <w:rPr>
          <w:rFonts w:ascii="Times New Roman" w:hAnsi="Times New Roman"/>
          <w:sz w:val="28"/>
          <w:szCs w:val="28"/>
          <w:lang w:eastAsia="ru-RU"/>
        </w:rPr>
        <w:t>1447,37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рублей), «</w:t>
      </w:r>
      <w:r w:rsidR="00CC5340">
        <w:rPr>
          <w:rFonts w:ascii="Times New Roman" w:hAnsi="Times New Roman"/>
          <w:sz w:val="28"/>
          <w:szCs w:val="28"/>
          <w:lang w:eastAsia="ru-RU"/>
        </w:rPr>
        <w:t>Формирование комфортной городской среды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CC5340">
        <w:rPr>
          <w:rFonts w:ascii="Times New Roman" w:hAnsi="Times New Roman"/>
          <w:sz w:val="28"/>
          <w:szCs w:val="28"/>
          <w:lang w:eastAsia="ru-RU"/>
        </w:rPr>
        <w:t>22005,04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D25F1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исполнение расходов за отчетный период  превысило 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>средн</w:t>
      </w:r>
      <w:r w:rsidR="00290D85">
        <w:rPr>
          <w:rFonts w:ascii="Times New Roman" w:hAnsi="Times New Roman"/>
          <w:sz w:val="28"/>
          <w:szCs w:val="28"/>
          <w:lang w:eastAsia="ru-RU"/>
        </w:rPr>
        <w:t>ий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 w:rsidR="00290D85">
        <w:rPr>
          <w:rFonts w:ascii="Times New Roman" w:hAnsi="Times New Roman"/>
          <w:sz w:val="28"/>
          <w:szCs w:val="28"/>
          <w:lang w:eastAsia="ru-RU"/>
        </w:rPr>
        <w:t>ень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 xml:space="preserve"> по округу </w:t>
      </w:r>
      <w:r w:rsidRPr="000C1FD2">
        <w:rPr>
          <w:rFonts w:ascii="Times New Roman" w:hAnsi="Times New Roman"/>
          <w:sz w:val="28"/>
          <w:szCs w:val="28"/>
          <w:lang w:eastAsia="ru-RU"/>
        </w:rPr>
        <w:t>(20,7%), в том числе: «</w:t>
      </w:r>
      <w:r w:rsidR="00626199">
        <w:rPr>
          <w:rFonts w:ascii="Times New Roman" w:hAnsi="Times New Roman"/>
          <w:sz w:val="28"/>
          <w:szCs w:val="28"/>
          <w:lang w:eastAsia="ru-RU"/>
        </w:rPr>
        <w:t>Финансовая поддержка семей при рождении детей</w:t>
      </w:r>
      <w:r w:rsidRPr="000C1FD2">
        <w:rPr>
          <w:rFonts w:ascii="Times New Roman" w:hAnsi="Times New Roman"/>
          <w:sz w:val="28"/>
          <w:szCs w:val="28"/>
          <w:lang w:eastAsia="ru-RU"/>
        </w:rPr>
        <w:t>» (</w:t>
      </w:r>
      <w:r w:rsidR="00626199">
        <w:rPr>
          <w:rFonts w:ascii="Times New Roman" w:hAnsi="Times New Roman"/>
          <w:sz w:val="28"/>
          <w:szCs w:val="28"/>
          <w:lang w:eastAsia="ru-RU"/>
        </w:rPr>
        <w:t>22380,88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626199">
        <w:rPr>
          <w:rFonts w:ascii="Times New Roman" w:hAnsi="Times New Roman"/>
          <w:sz w:val="28"/>
          <w:szCs w:val="28"/>
          <w:lang w:eastAsia="ru-RU"/>
        </w:rPr>
        <w:t>28,5</w:t>
      </w:r>
      <w:r w:rsidRPr="000C1FD2">
        <w:rPr>
          <w:rFonts w:ascii="Times New Roman" w:hAnsi="Times New Roman"/>
          <w:sz w:val="28"/>
          <w:szCs w:val="28"/>
          <w:lang w:eastAsia="ru-RU"/>
        </w:rPr>
        <w:t>%), «</w:t>
      </w:r>
      <w:r w:rsidR="00626199">
        <w:rPr>
          <w:rFonts w:ascii="Times New Roman" w:hAnsi="Times New Roman"/>
          <w:sz w:val="28"/>
          <w:szCs w:val="28"/>
          <w:lang w:eastAsia="ru-RU"/>
        </w:rPr>
        <w:t>Творческие люди</w:t>
      </w:r>
      <w:r w:rsidRPr="000C1FD2">
        <w:rPr>
          <w:rFonts w:ascii="Times New Roman" w:hAnsi="Times New Roman"/>
          <w:sz w:val="28"/>
          <w:szCs w:val="28"/>
          <w:lang w:eastAsia="ru-RU"/>
        </w:rPr>
        <w:t>» (</w:t>
      </w:r>
      <w:r w:rsidR="00CB4803">
        <w:rPr>
          <w:rFonts w:ascii="Times New Roman" w:hAnsi="Times New Roman"/>
          <w:sz w:val="28"/>
          <w:szCs w:val="28"/>
          <w:lang w:eastAsia="ru-RU"/>
        </w:rPr>
        <w:t>50,51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B4803">
        <w:rPr>
          <w:rFonts w:ascii="Times New Roman" w:hAnsi="Times New Roman"/>
          <w:sz w:val="28"/>
          <w:szCs w:val="28"/>
          <w:lang w:eastAsia="ru-RU"/>
        </w:rPr>
        <w:t>100,0%)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6277DB">
        <w:rPr>
          <w:rFonts w:ascii="Times New Roman" w:hAnsi="Times New Roman"/>
          <w:sz w:val="28"/>
          <w:szCs w:val="28"/>
          <w:lang w:eastAsia="ru-RU"/>
        </w:rPr>
        <w:t>2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E4">
        <w:rPr>
          <w:rFonts w:ascii="Times New Roman" w:hAnsi="Times New Roman"/>
          <w:sz w:val="28"/>
          <w:szCs w:val="28"/>
          <w:lang w:eastAsia="ru-RU"/>
        </w:rPr>
        <w:t>трем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направлениям. 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A47595">
        <w:rPr>
          <w:rFonts w:ascii="Times New Roman" w:hAnsi="Times New Roman"/>
          <w:sz w:val="28"/>
          <w:szCs w:val="28"/>
          <w:lang w:eastAsia="ru-RU"/>
        </w:rPr>
        <w:t>2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31634">
        <w:rPr>
          <w:rFonts w:ascii="Times New Roman" w:hAnsi="Times New Roman"/>
          <w:sz w:val="28"/>
          <w:szCs w:val="28"/>
          <w:lang w:eastAsia="ru-RU"/>
        </w:rPr>
        <w:lastRenderedPageBreak/>
        <w:t>бюджетные ассигнования на их реализацию сводной бюджетной 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0D2A84">
        <w:rPr>
          <w:rFonts w:ascii="Times New Roman" w:hAnsi="Times New Roman"/>
          <w:sz w:val="28"/>
          <w:szCs w:val="28"/>
          <w:lang w:eastAsia="ru-RU"/>
        </w:rPr>
        <w:t>20137,39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65407F">
        <w:rPr>
          <w:rFonts w:ascii="Times New Roman" w:hAnsi="Times New Roman"/>
          <w:sz w:val="28"/>
          <w:szCs w:val="28"/>
          <w:lang w:eastAsia="ru-RU"/>
        </w:rPr>
        <w:t>0,</w:t>
      </w:r>
      <w:r w:rsidR="000D2A84">
        <w:rPr>
          <w:rFonts w:ascii="Times New Roman" w:hAnsi="Times New Roman"/>
          <w:sz w:val="28"/>
          <w:szCs w:val="28"/>
          <w:lang w:eastAsia="ru-RU"/>
        </w:rPr>
        <w:t>9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756535" w:rsidRDefault="00756535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на </w:t>
      </w:r>
      <w:r w:rsidR="00CC23DE"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727C">
        <w:rPr>
          <w:rFonts w:ascii="Times New Roman" w:hAnsi="Times New Roman"/>
          <w:sz w:val="28"/>
          <w:szCs w:val="28"/>
          <w:lang w:eastAsia="ru-RU"/>
        </w:rPr>
        <w:t>10231,67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8727C">
        <w:rPr>
          <w:rFonts w:ascii="Times New Roman" w:hAnsi="Times New Roman"/>
          <w:sz w:val="28"/>
          <w:szCs w:val="28"/>
          <w:lang w:eastAsia="ru-RU"/>
        </w:rPr>
        <w:t>50,8</w:t>
      </w:r>
      <w:r w:rsidR="007E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предусмотренного объема непрограммных расходов). Объем средств, предусмотренный по </w:t>
      </w:r>
      <w:r w:rsidR="00F709E9">
        <w:rPr>
          <w:rFonts w:ascii="Times New Roman" w:hAnsi="Times New Roman"/>
          <w:sz w:val="28"/>
          <w:szCs w:val="28"/>
          <w:lang w:eastAsia="ru-RU"/>
        </w:rPr>
        <w:t>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на обеспечение деятельности органов</w:t>
      </w:r>
      <w:r w:rsidR="00CC23DE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Ипатовского городского округа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составил </w:t>
      </w:r>
      <w:r w:rsidR="00CC23DE">
        <w:rPr>
          <w:rFonts w:ascii="Times New Roman" w:hAnsi="Times New Roman"/>
          <w:sz w:val="28"/>
          <w:szCs w:val="28"/>
          <w:lang w:eastAsia="ru-RU"/>
        </w:rPr>
        <w:t>9905,42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C23DE">
        <w:rPr>
          <w:rFonts w:ascii="Times New Roman" w:hAnsi="Times New Roman"/>
          <w:sz w:val="28"/>
          <w:szCs w:val="28"/>
          <w:lang w:eastAsia="ru-RU"/>
        </w:rPr>
        <w:t>49,2</w:t>
      </w:r>
      <w:r w:rsidRPr="00756535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:rsidR="00B86974" w:rsidRPr="00B86974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>
        <w:rPr>
          <w:rFonts w:ascii="Times New Roman" w:hAnsi="Times New Roman"/>
          <w:sz w:val="28"/>
          <w:szCs w:val="28"/>
          <w:lang w:eastAsia="ru-RU"/>
        </w:rPr>
        <w:t>1864,42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F6B22">
        <w:rPr>
          <w:rFonts w:ascii="Times New Roman" w:hAnsi="Times New Roman"/>
          <w:sz w:val="28"/>
          <w:szCs w:val="28"/>
          <w:lang w:eastAsia="ru-RU"/>
        </w:rPr>
        <w:t>9,3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BF6B22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 w:rsidR="00BF6B22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BF6B22"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742175">
        <w:rPr>
          <w:rFonts w:ascii="Times New Roman" w:hAnsi="Times New Roman"/>
          <w:sz w:val="28"/>
          <w:szCs w:val="28"/>
          <w:lang w:eastAsia="ru-RU"/>
        </w:rPr>
        <w:t>189,93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42175">
        <w:rPr>
          <w:rFonts w:ascii="Times New Roman" w:hAnsi="Times New Roman"/>
          <w:sz w:val="28"/>
          <w:szCs w:val="28"/>
          <w:lang w:eastAsia="ru-RU"/>
        </w:rPr>
        <w:t>9,2</w:t>
      </w:r>
      <w:r w:rsidRPr="00B86974">
        <w:rPr>
          <w:rFonts w:ascii="Times New Roman" w:hAnsi="Times New Roman"/>
          <w:sz w:val="28"/>
          <w:szCs w:val="28"/>
          <w:lang w:eastAsia="ru-RU"/>
        </w:rPr>
        <w:t>% (за I квартал 202</w:t>
      </w:r>
      <w:r w:rsidR="00BF6B22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F6B22">
        <w:rPr>
          <w:rFonts w:ascii="Times New Roman" w:hAnsi="Times New Roman"/>
          <w:sz w:val="28"/>
          <w:szCs w:val="28"/>
          <w:lang w:eastAsia="ru-RU"/>
        </w:rPr>
        <w:t>2054,35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E0ECD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</w:t>
      </w:r>
      <w:r w:rsidR="006916C4">
        <w:rPr>
          <w:rFonts w:ascii="Times New Roman" w:hAnsi="Times New Roman"/>
          <w:sz w:val="28"/>
          <w:szCs w:val="28"/>
          <w:lang w:eastAsia="ru-RU"/>
        </w:rPr>
        <w:t xml:space="preserve">иных непрограммных расходов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исполнены в объеме </w:t>
      </w:r>
      <w:r w:rsidR="006916C4">
        <w:rPr>
          <w:rFonts w:ascii="Times New Roman" w:hAnsi="Times New Roman"/>
          <w:sz w:val="28"/>
          <w:szCs w:val="28"/>
          <w:lang w:eastAsia="ru-RU"/>
        </w:rPr>
        <w:t>148,82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052EB5">
        <w:rPr>
          <w:rFonts w:ascii="Times New Roman" w:hAnsi="Times New Roman"/>
          <w:sz w:val="28"/>
          <w:szCs w:val="28"/>
          <w:lang w:eastAsia="ru-RU"/>
        </w:rPr>
        <w:t>1,5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% к плановым показателям. Объем расходов на обеспечение деятельности </w:t>
      </w:r>
      <w:r w:rsidR="00052EB5" w:rsidRPr="00052EB5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Ипатовского городского округа Ставропольского края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052EB5">
        <w:rPr>
          <w:rFonts w:ascii="Times New Roman" w:hAnsi="Times New Roman"/>
          <w:sz w:val="28"/>
          <w:szCs w:val="28"/>
          <w:lang w:eastAsia="ru-RU"/>
        </w:rPr>
        <w:t>1715,60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972F1">
        <w:rPr>
          <w:rFonts w:ascii="Times New Roman" w:hAnsi="Times New Roman"/>
          <w:sz w:val="28"/>
          <w:szCs w:val="28"/>
          <w:lang w:eastAsia="ru-RU"/>
        </w:rPr>
        <w:t>17,3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Ипатовского городского округа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Ипатовского городского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2023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1A7F8A"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1A7F8A"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доходов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расходами (профицит) в сумме 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«-» </w:t>
      </w:r>
      <w:r w:rsidR="00FD74CF">
        <w:rPr>
          <w:rFonts w:ascii="Times New Roman" w:hAnsi="Times New Roman"/>
          <w:sz w:val="28"/>
          <w:szCs w:val="28"/>
          <w:lang w:eastAsia="ru-RU"/>
        </w:rPr>
        <w:t>17406,73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8017BD" w:rsidRPr="008017BD">
        <w:rPr>
          <w:rFonts w:ascii="Times New Roman" w:hAnsi="Times New Roman"/>
          <w:sz w:val="28"/>
          <w:szCs w:val="28"/>
          <w:lang w:eastAsia="ru-RU"/>
        </w:rPr>
        <w:t>229622,79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Ипатовского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C94360">
        <w:rPr>
          <w:rFonts w:ascii="Times New Roman" w:hAnsi="Times New Roman"/>
          <w:sz w:val="28"/>
          <w:szCs w:val="28"/>
          <w:lang w:eastAsia="ru-RU"/>
        </w:rPr>
        <w:t>5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04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5944DD">
        <w:rPr>
          <w:rFonts w:ascii="Times New Roman" w:hAnsi="Times New Roman"/>
          <w:sz w:val="28"/>
          <w:szCs w:val="28"/>
          <w:lang w:eastAsia="ru-RU"/>
        </w:rPr>
        <w:t>2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5944DD">
        <w:rPr>
          <w:rFonts w:ascii="Times New Roman" w:hAnsi="Times New Roman"/>
          <w:sz w:val="28"/>
          <w:szCs w:val="28"/>
          <w:lang w:eastAsia="ru-RU"/>
        </w:rPr>
        <w:t>215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.04.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B14E39">
        <w:rPr>
          <w:rFonts w:ascii="Times New Roman" w:hAnsi="Times New Roman"/>
          <w:sz w:val="28"/>
          <w:szCs w:val="28"/>
          <w:lang w:eastAsia="ru-RU"/>
        </w:rPr>
        <w:t>1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14E39">
        <w:rPr>
          <w:rFonts w:ascii="Times New Roman" w:hAnsi="Times New Roman"/>
          <w:sz w:val="28"/>
          <w:szCs w:val="28"/>
          <w:lang w:eastAsia="ru-RU"/>
        </w:rPr>
        <w:t>220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Ипатовского городского округа Ставропольского края в сравнении с аналогичным периодом прошлого года </w:t>
      </w:r>
      <w:r w:rsidR="00C94360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120,42 </w:t>
      </w:r>
      <w:r w:rsidR="000856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человек и составила </w:t>
      </w:r>
      <w:r w:rsidR="005944DD">
        <w:rPr>
          <w:rFonts w:ascii="Times New Roman" w:hAnsi="Times New Roman"/>
          <w:sz w:val="28"/>
          <w:szCs w:val="28"/>
          <w:lang w:eastAsia="ru-RU"/>
        </w:rPr>
        <w:t>2207,45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(на 01 апреля 202</w:t>
      </w:r>
      <w:r w:rsidR="00B14E39">
        <w:rPr>
          <w:rFonts w:ascii="Times New Roman" w:hAnsi="Times New Roman"/>
          <w:sz w:val="28"/>
          <w:szCs w:val="28"/>
          <w:lang w:eastAsia="ru-RU"/>
        </w:rPr>
        <w:t>1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2327,87</w:t>
      </w:r>
      <w:r w:rsidR="00ED02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и работников муниципальных учреждений за первый квартал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>
        <w:rPr>
          <w:rFonts w:ascii="Times New Roman" w:hAnsi="Times New Roman"/>
          <w:bCs/>
          <w:sz w:val="28"/>
          <w:szCs w:val="28"/>
          <w:lang w:eastAsia="ru-RU"/>
        </w:rPr>
        <w:t>139402,66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6873,41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5,2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871,91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20426,49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>6001,50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118976,17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284BF9"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местных бюджетов 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B5"/>
    <w:rsid w:val="00052EB5"/>
    <w:rsid w:val="00053B67"/>
    <w:rsid w:val="00062076"/>
    <w:rsid w:val="000642EE"/>
    <w:rsid w:val="00064B92"/>
    <w:rsid w:val="00065D5D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5C6"/>
    <w:rsid w:val="000F6BE7"/>
    <w:rsid w:val="000F723D"/>
    <w:rsid w:val="00103182"/>
    <w:rsid w:val="00103776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9C6"/>
    <w:rsid w:val="00124B72"/>
    <w:rsid w:val="00125048"/>
    <w:rsid w:val="00127F07"/>
    <w:rsid w:val="0013005F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7620"/>
    <w:rsid w:val="001F0D00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75E1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0B05"/>
    <w:rsid w:val="004C285E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2057F"/>
    <w:rsid w:val="007213CC"/>
    <w:rsid w:val="00721D38"/>
    <w:rsid w:val="00724288"/>
    <w:rsid w:val="007253C8"/>
    <w:rsid w:val="007262F2"/>
    <w:rsid w:val="00726577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C2C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6EDB"/>
    <w:rsid w:val="007C00DF"/>
    <w:rsid w:val="007C0217"/>
    <w:rsid w:val="007C0F9D"/>
    <w:rsid w:val="007C16D5"/>
    <w:rsid w:val="007C3DDB"/>
    <w:rsid w:val="007C4E1A"/>
    <w:rsid w:val="007C5DFD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55A8"/>
    <w:rsid w:val="00845CA2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4117"/>
    <w:rsid w:val="00AD66FB"/>
    <w:rsid w:val="00AD7CC5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14E39"/>
    <w:rsid w:val="00B201B4"/>
    <w:rsid w:val="00B23F05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553F"/>
    <w:rsid w:val="00C57DC8"/>
    <w:rsid w:val="00C63F68"/>
    <w:rsid w:val="00C6471F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ABF"/>
    <w:rsid w:val="00CD3BF0"/>
    <w:rsid w:val="00CD52F7"/>
    <w:rsid w:val="00CE2779"/>
    <w:rsid w:val="00CE2D09"/>
    <w:rsid w:val="00CE31E4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A68"/>
    <w:rsid w:val="00D51AA0"/>
    <w:rsid w:val="00D53241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883"/>
    <w:rsid w:val="00EB1C02"/>
    <w:rsid w:val="00EB2576"/>
    <w:rsid w:val="00EB2E4B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C009-5F02-4B5D-96C1-E4EDE497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10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Sovet-win7</cp:lastModifiedBy>
  <cp:revision>104</cp:revision>
  <cp:lastPrinted>2021-11-16T06:23:00Z</cp:lastPrinted>
  <dcterms:created xsi:type="dcterms:W3CDTF">2019-04-29T13:43:00Z</dcterms:created>
  <dcterms:modified xsi:type="dcterms:W3CDTF">2022-05-31T06:15:00Z</dcterms:modified>
</cp:coreProperties>
</file>