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проект</w:t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АДМИНИСТРАЦИ</w:t>
      </w:r>
      <w:r>
        <w:rPr>
          <w:rFonts w:ascii="Times New Roman" w:hAnsi="Times New Roman" w:cs="Times New Roman"/>
          <w:b/>
          <w:sz w:val="32"/>
          <w:szCs w:val="24"/>
        </w:rPr>
        <w:t xml:space="preserve">И</w:t>
      </w:r>
      <w:r>
        <w:rPr>
          <w:rFonts w:ascii="Times New Roman" w:hAnsi="Times New Roman" w:cs="Times New Roman"/>
          <w:b/>
          <w:sz w:val="32"/>
          <w:szCs w:val="24"/>
        </w:rPr>
        <w:t xml:space="preserve"> ИПАТОВСКОГО </w:t>
      </w:r>
      <w:r>
        <w:rPr>
          <w:rFonts w:ascii="Times New Roman" w:hAnsi="Times New Roman" w:cs="Times New Roman"/>
          <w:b/>
          <w:sz w:val="32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32"/>
          <w:szCs w:val="24"/>
        </w:rPr>
        <w:t xml:space="preserve">ОКРУГАСТАВРОПОЛЬСКОГО КРАЯ</w:t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</w:r>
      <w:r>
        <w:rPr>
          <w:rFonts w:ascii="Times New Roman" w:hAnsi="Times New Roman" w:cs="Times New Roman"/>
          <w:b/>
          <w:sz w:val="32"/>
          <w:szCs w:val="24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  №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антикоррупционного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hyperlink r:id="rId10" w:tooltip="https://login.consultant.ru/link/?req=doc&amp;base=LAW&amp;n=4657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25 декабря 2008 года </w:t>
      </w:r>
      <w:hyperlink r:id="rId11" w:tooltip="https://login.consultant.ru/link/?req=doc&amp;base=LAW&amp;n=4648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з</w:t>
      </w:r>
      <w:r>
        <w:rPr>
          <w:rFonts w:ascii="Times New Roman" w:hAnsi="Times New Roman" w:cs="Times New Roman"/>
          <w:sz w:val="28"/>
          <w:szCs w:val="28"/>
        </w:rPr>
        <w:t xml:space="preserve">акон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№ 25-кз «О противодействии коррупции в Ставропольском крае», </w:t>
      </w:r>
      <w:r>
        <w:rPr>
          <w:rFonts w:ascii="Times New Roman" w:hAnsi="Times New Roman" w:cs="Times New Roman"/>
          <w:sz w:val="28"/>
          <w:szCs w:val="28"/>
        </w:rPr>
        <w:t xml:space="preserve">от 30 мая 2023г. № 46-кз «О наделении Ипатовского городского округа Ставропольского края статусом муниципального округа»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антикоррупционного мониторинга применения муниципальных правовых актов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 постановление администрации Ипатовского городского округа Ставропольского края от 02.03.2021г. № 224 «Об утверждении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применения муниципальных правовых актов администрации Ипатовского городского округа Ставропольского края».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Обнародовать настоящее постановление в муниципальном казенном учреждении культуры «</w:t>
      </w:r>
      <w:r>
        <w:rPr>
          <w:rFonts w:ascii="Times New Roman" w:hAnsi="Times New Roman" w:cs="Times New Roman"/>
          <w:sz w:val="28"/>
          <w:szCs w:val="28"/>
        </w:rPr>
        <w:t xml:space="preserve">Ипатовская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округа  Ставропольского края Т.А. Фоменко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spacing w:line="240" w:lineRule="exact"/>
      </w:pPr>
      <w:r>
        <w:t xml:space="preserve">Глава</w:t>
      </w:r>
      <w:r/>
    </w:p>
    <w:p>
      <w:pPr>
        <w:pStyle w:val="652"/>
        <w:spacing w:line="240" w:lineRule="exact"/>
        <w:rPr>
          <w:bCs/>
        </w:rPr>
      </w:pPr>
      <w:r>
        <w:t xml:space="preserve">Ипатовского муниципального</w:t>
      </w:r>
      <w:r>
        <w:rPr>
          <w:bCs/>
        </w:rPr>
        <w:t xml:space="preserve"> округа </w:t>
      </w:r>
      <w:r>
        <w:rPr>
          <w:bCs/>
        </w:rPr>
      </w:r>
    </w:p>
    <w:p>
      <w:pPr>
        <w:pStyle w:val="652"/>
        <w:spacing w:line="240" w:lineRule="exact"/>
        <w:pBdr>
          <w:bottom w:val="single" w:color="000000" w:sz="12" w:space="1"/>
        </w:pBdr>
      </w:pPr>
      <w:r>
        <w:t xml:space="preserve">Ставропольского края                                                                     В.Н. Шейкина</w:t>
      </w:r>
      <w:r/>
    </w:p>
    <w:tbl>
      <w:tblPr>
        <w:tblW w:w="8896" w:type="dxa"/>
        <w:tblLook w:val="04A0" w:firstRow="1" w:lastRow="0" w:firstColumn="1" w:lastColumn="0" w:noHBand="0" w:noVBand="1"/>
      </w:tblPr>
      <w:tblGrid>
        <w:gridCol w:w="8896"/>
      </w:tblGrid>
      <w:tr>
        <w:tblPrEx/>
        <w:trPr/>
        <w:tc>
          <w:tcPr>
            <w:tcW w:w="889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3"/>
        </w:trPr>
        <w:tc>
          <w:tcPr>
            <w:tcW w:w="889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89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896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652"/>
        <w:ind w:firstLine="567"/>
        <w:jc w:val="right"/>
        <w:rPr>
          <w:b/>
          <w:sz w:val="32"/>
          <w:szCs w:val="24"/>
        </w:rPr>
        <w:outlineLvl w:val="0"/>
      </w:pPr>
      <w:r>
        <w:rPr>
          <w:b/>
          <w:sz w:val="32"/>
          <w:szCs w:val="24"/>
        </w:rPr>
      </w:r>
      <w:r>
        <w:rPr>
          <w:b/>
          <w:sz w:val="32"/>
          <w:szCs w:val="24"/>
        </w:rPr>
      </w:r>
    </w:p>
    <w:p>
      <w:pPr>
        <w:pStyle w:val="652"/>
        <w:ind w:firstLine="567"/>
        <w:jc w:val="right"/>
        <w:outlineLvl w:val="0"/>
      </w:pPr>
      <w:r/>
      <w:r/>
    </w:p>
    <w:p>
      <w:pPr>
        <w:pStyle w:val="652"/>
        <w:ind w:firstLine="567"/>
        <w:jc w:val="right"/>
        <w:outlineLvl w:val="0"/>
      </w:pPr>
      <w:r>
        <w:t xml:space="preserve">У</w:t>
      </w:r>
      <w:r>
        <w:t xml:space="preserve">твержден</w:t>
      </w:r>
      <w:r/>
    </w:p>
    <w:p>
      <w:pPr>
        <w:pStyle w:val="652"/>
        <w:ind w:firstLine="567"/>
        <w:jc w:val="right"/>
      </w:pPr>
      <w:r>
        <w:t xml:space="preserve">постановлением администрации</w:t>
      </w:r>
      <w:r/>
    </w:p>
    <w:p>
      <w:pPr>
        <w:pStyle w:val="652"/>
        <w:ind w:firstLine="567"/>
        <w:jc w:val="right"/>
      </w:pPr>
      <w:r>
        <w:t xml:space="preserve">Ипатовского </w:t>
      </w:r>
      <w:r>
        <w:t xml:space="preserve">муниципального </w:t>
      </w:r>
      <w:r>
        <w:t xml:space="preserve">округа</w:t>
      </w:r>
      <w:r/>
    </w:p>
    <w:p>
      <w:pPr>
        <w:pStyle w:val="652"/>
        <w:ind w:firstLine="567"/>
        <w:jc w:val="right"/>
      </w:pPr>
      <w:r>
        <w:t xml:space="preserve">Ставропольского края</w:t>
      </w:r>
      <w:r/>
    </w:p>
    <w:p>
      <w:pPr>
        <w:pStyle w:val="652"/>
        <w:ind w:firstLine="567"/>
        <w:jc w:val="right"/>
      </w:pPr>
      <w:r>
        <w:t xml:space="preserve">от </w:t>
      </w:r>
      <w:r>
        <w:t xml:space="preserve">             </w:t>
      </w:r>
      <w:r>
        <w:t xml:space="preserve">г</w:t>
      </w:r>
      <w:r>
        <w:t xml:space="preserve">. </w:t>
      </w:r>
      <w:r>
        <w:t xml:space="preserve">  </w:t>
      </w:r>
      <w:r>
        <w:t xml:space="preserve">№</w:t>
      </w:r>
      <w:r>
        <w:t xml:space="preserve"> </w:t>
      </w:r>
      <w:r/>
    </w:p>
    <w:p>
      <w:pPr>
        <w:pStyle w:val="652"/>
        <w:ind w:firstLine="567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</w:r>
      <w:r>
        <w:rPr>
          <w:b/>
          <w:sz w:val="32"/>
          <w:szCs w:val="24"/>
        </w:rPr>
      </w:r>
    </w:p>
    <w:p>
      <w:pPr>
        <w:pStyle w:val="652"/>
        <w:ind w:firstLine="567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</w:r>
      <w:r>
        <w:rPr>
          <w:b/>
          <w:sz w:val="32"/>
          <w:szCs w:val="24"/>
        </w:rPr>
      </w:r>
    </w:p>
    <w:p>
      <w:pPr>
        <w:pStyle w:val="65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3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ПРИМЕНЕНИЯ МУНИЦИПАЛЬНЫХ ПРАВОВЫХ АКТОВ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ind w:firstLine="567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</w:r>
      <w:r>
        <w:rPr>
          <w:b/>
          <w:sz w:val="32"/>
          <w:szCs w:val="24"/>
        </w:rPr>
      </w:r>
    </w:p>
    <w:p>
      <w:pPr>
        <w:pStyle w:val="652"/>
        <w:ind w:firstLine="540"/>
        <w:jc w:val="both"/>
      </w:pPr>
      <w:r>
        <w:rPr>
          <w:sz w:val="24"/>
          <w:szCs w:val="24"/>
        </w:rPr>
        <w:t xml:space="preserve">1</w:t>
      </w:r>
      <w:r>
        <w:t xml:space="preserve">. </w:t>
      </w:r>
      <w:r>
        <w:t xml:space="preserve">Настоящий </w:t>
      </w:r>
      <w:r>
        <w:t xml:space="preserve">Порядок проведения </w:t>
      </w:r>
      <w:r>
        <w:t xml:space="preserve">антикоррупционного</w:t>
      </w:r>
      <w:r>
        <w:t xml:space="preserve"> мониторинга </w:t>
      </w:r>
      <w:r>
        <w:t xml:space="preserve"> (далее соответственно - </w:t>
      </w:r>
      <w:r>
        <w:t xml:space="preserve">Порядок, муниципальные правовые акты) разработан в соответствии с Федеральным законом от 25 декабря 2008 г. № 273-ФЗ «О противодействии коррупции», Законом Ставропольского края от 04 мая 2009 г. № 25-кз «О противодействии коррупции в Ставропольском крае», </w:t>
      </w:r>
      <w:r>
        <w:t xml:space="preserve">в целях предупреждения коррупционных правонарушений и совершенствования правовой и организационной основы противодействия коррупции, определяет методику и процедуру проведения </w:t>
      </w:r>
      <w:r>
        <w:t xml:space="preserve">антикоррупционного</w:t>
      </w:r>
      <w:r>
        <w:t xml:space="preserve"> мониторинга применения муниципальных нормативных правовых актов </w:t>
      </w:r>
      <w:r>
        <w:t xml:space="preserve">администрации Ипатовского </w:t>
      </w:r>
      <w:r>
        <w:t xml:space="preserve">муниципального</w:t>
      </w:r>
      <w:r>
        <w:t xml:space="preserve"> округа Ставропольского края.</w:t>
      </w:r>
      <w:r/>
    </w:p>
    <w:p>
      <w:pPr>
        <w:pStyle w:val="652"/>
        <w:ind w:firstLine="567"/>
        <w:jc w:val="both"/>
      </w:pPr>
      <w:r>
        <w:t xml:space="preserve">2. В настоящем Порядке под </w:t>
      </w:r>
      <w:r>
        <w:t xml:space="preserve">антикоррупционным</w:t>
      </w:r>
      <w:r>
        <w:t xml:space="preserve"> мониторингом </w:t>
      </w:r>
      <w:r>
        <w:t xml:space="preserve">применения муниципальных нормативных правовых актов (далее - </w:t>
      </w:r>
      <w:r>
        <w:t xml:space="preserve">антикоррупционный</w:t>
      </w:r>
      <w:r>
        <w:t xml:space="preserve"> мониторинг)  </w:t>
      </w:r>
      <w:r>
        <w:t xml:space="preserve">понимаются систематический анализ и оценка реализации муниципальных правовых актов администрации Ипатовского </w:t>
      </w:r>
      <w:r>
        <w:t xml:space="preserve">муниципального</w:t>
      </w:r>
      <w:r>
        <w:t xml:space="preserve"> округа Ставропольского края (далее - администрация), </w:t>
      </w:r>
      <w:r>
        <w:t xml:space="preserve">принятых в соответствии с ее компетенцией, установленной законодательством Российской Федерации и Ставропольского края, </w:t>
      </w:r>
      <w:hyperlink r:id="rId12" w:tooltip="https://login.consultant.ru/link/?req=doc&amp;base=RLAW077&amp;n=209455&amp;dst=100022" w:history="1">
        <w:r>
          <w:rPr>
            <w:color w:val="0000ff"/>
          </w:rPr>
          <w:t xml:space="preserve">Уставом</w:t>
        </w:r>
      </w:hyperlink>
      <w:r>
        <w:t xml:space="preserve"> Ипатовского муниципального округа Ставропольского края</w:t>
      </w:r>
      <w:r>
        <w:t xml:space="preserve">.</w:t>
      </w:r>
      <w:r/>
    </w:p>
    <w:p>
      <w:pPr>
        <w:pStyle w:val="652"/>
        <w:ind w:firstLine="567"/>
        <w:jc w:val="both"/>
      </w:pPr>
      <w:r>
        <w:t xml:space="preserve">3. </w:t>
      </w:r>
      <w:r>
        <w:t xml:space="preserve">Антикоррупционный</w:t>
      </w:r>
      <w:r>
        <w:t xml:space="preserve"> мониторинг проводится на постоянной основе отделами аппарата, отделами (управлениями, комитетом) со статусом юридического лица администрации Ипатовского </w:t>
      </w:r>
      <w:r>
        <w:t xml:space="preserve">муниципального</w:t>
      </w:r>
      <w:r>
        <w:t xml:space="preserve"> округа Ставропольского края (далее – отделы аппарата, структурные подразделения) в отношении разработанных и (или) реализуемых </w:t>
      </w:r>
      <w:r>
        <w:t xml:space="preserve">ими </w:t>
      </w:r>
      <w:r>
        <w:t xml:space="preserve">муниципальных правовых актов</w:t>
      </w:r>
      <w:r>
        <w:t xml:space="preserve"> (далее – разработчики нормативно правовых актов) совместно с отделом правового и кадрового обеспечения администрации</w:t>
      </w:r>
      <w:r>
        <w:t xml:space="preserve">.</w:t>
      </w:r>
      <w:r/>
    </w:p>
    <w:p>
      <w:pPr>
        <w:pStyle w:val="652"/>
        <w:ind w:firstLine="567"/>
        <w:jc w:val="both"/>
      </w:pPr>
      <w:r>
        <w:t xml:space="preserve">4</w:t>
      </w:r>
      <w:r>
        <w:t xml:space="preserve">. Основаниями проведения антикоррупционного мониторинга являются:</w:t>
      </w:r>
      <w:r/>
    </w:p>
    <w:p>
      <w:pPr>
        <w:pStyle w:val="652"/>
        <w:ind w:firstLine="567"/>
        <w:jc w:val="both"/>
      </w:pPr>
      <w:r>
        <w:t xml:space="preserve">1) внесение изменений в законодательство Российской Федерации, законодательство Ставропольского края, </w:t>
      </w:r>
      <w:r>
        <w:t xml:space="preserve">нормативные правовые акты</w:t>
      </w:r>
      <w:r>
        <w:t xml:space="preserve"> Ипатовского </w:t>
      </w:r>
      <w:r>
        <w:t xml:space="preserve">муниципального </w:t>
      </w:r>
      <w:r>
        <w:t xml:space="preserve">округа Ставропольского края;</w:t>
      </w:r>
      <w:r/>
    </w:p>
    <w:p>
      <w:pPr>
        <w:pStyle w:val="652"/>
        <w:ind w:firstLine="567"/>
        <w:jc w:val="both"/>
      </w:pPr>
      <w:r>
        <w:t xml:space="preserve">2) анализ применения муниципальных правовых актов в определенной сфере;</w:t>
      </w:r>
      <w:r/>
    </w:p>
    <w:p>
      <w:pPr>
        <w:pStyle w:val="652"/>
        <w:ind w:firstLine="567"/>
        <w:jc w:val="both"/>
      </w:pPr>
      <w:r>
        <w:t xml:space="preserve">3) получение информации </w:t>
      </w:r>
      <w:r>
        <w:t xml:space="preserve">из </w:t>
      </w:r>
      <w:r>
        <w:t xml:space="preserve">прокуратуры Ипатовского района Ставропольского края;</w:t>
      </w:r>
      <w:r/>
    </w:p>
    <w:p>
      <w:pPr>
        <w:pStyle w:val="652"/>
        <w:ind w:firstLine="567"/>
        <w:jc w:val="both"/>
      </w:pPr>
      <w:r>
        <w:t xml:space="preserve">4) обращения граждан, их объединений, юридических лиц, индивидуальных предпринимателей, в которых указывается на несовершенст</w:t>
      </w:r>
      <w:r>
        <w:t xml:space="preserve">во муниципальных правовых актов;</w:t>
      </w:r>
      <w:r/>
    </w:p>
    <w:p>
      <w:pPr>
        <w:pStyle w:val="652"/>
        <w:ind w:firstLine="567"/>
        <w:jc w:val="both"/>
      </w:pPr>
      <w:r>
        <w:t xml:space="preserve">5) вступление в законную силу судебных актов об оспаривании нормативных правовых актов Ипатовского муниципального округа Ставропольского края.</w:t>
      </w:r>
      <w:r/>
    </w:p>
    <w:p>
      <w:pPr>
        <w:pStyle w:val="652"/>
        <w:ind w:firstLine="567"/>
        <w:jc w:val="both"/>
      </w:pPr>
      <w:r>
        <w:t xml:space="preserve">5</w:t>
      </w:r>
      <w:r>
        <w:t xml:space="preserve">. Антикоррупционный мониторинг осуществляется путем:</w:t>
      </w:r>
      <w:r/>
    </w:p>
    <w:p>
      <w:pPr>
        <w:pStyle w:val="652"/>
        <w:ind w:firstLine="567"/>
        <w:jc w:val="both"/>
      </w:pPr>
      <w:r>
        <w:t xml:space="preserve">1) выявления в муниципальных правовых актах положений, содержащих </w:t>
      </w:r>
      <w:r>
        <w:t xml:space="preserve">коррупциогенные</w:t>
      </w:r>
      <w:r>
        <w:t xml:space="preserve"> факторы;</w:t>
      </w:r>
      <w:r/>
    </w:p>
    <w:p>
      <w:pPr>
        <w:pStyle w:val="652"/>
        <w:ind w:firstLine="567"/>
        <w:jc w:val="both"/>
      </w:pPr>
      <w:r>
        <w:t xml:space="preserve">2) оценки эффективности применения муниципальных правовых актов по предупреждению коррупционных правонарушений;</w:t>
      </w:r>
      <w:r/>
    </w:p>
    <w:p>
      <w:pPr>
        <w:pStyle w:val="652"/>
        <w:ind w:firstLine="567"/>
        <w:jc w:val="both"/>
      </w:pPr>
      <w:r>
        <w:t xml:space="preserve">3) </w:t>
      </w:r>
      <w:r>
        <w:t xml:space="preserve">использования данных контроля за исполнением нормативных правовых актов Ипатовского муниципального округа Ставропольского края</w:t>
      </w:r>
      <w:r>
        <w:t xml:space="preserve">  </w:t>
      </w:r>
      <w:r>
        <w:t xml:space="preserve">;</w:t>
      </w:r>
      <w:r/>
    </w:p>
    <w:p>
      <w:pPr>
        <w:pStyle w:val="652"/>
        <w:ind w:firstLine="567"/>
        <w:jc w:val="both"/>
      </w:pPr>
      <w:r>
        <w:t xml:space="preserve">4) анализа правоприменительной и судебной практики муниципальных правовых актов (анализ судебных актов по делам об оспаривании муниципальных правовых актов);</w:t>
      </w:r>
      <w:r/>
    </w:p>
    <w:p>
      <w:pPr>
        <w:pStyle w:val="652"/>
        <w:ind w:firstLine="567"/>
        <w:jc w:val="both"/>
      </w:pPr>
      <w:r>
        <w:t xml:space="preserve">5) проведения опросов и иных мероприятий по оценке эффективности мер противодействия коррупции;</w:t>
      </w:r>
      <w:r/>
    </w:p>
    <w:p>
      <w:pPr>
        <w:pStyle w:val="652"/>
        <w:ind w:firstLine="567"/>
        <w:jc w:val="both"/>
      </w:pPr>
      <w:r>
        <w:t xml:space="preserve">6) подготовки предложений по совершенствованию нормативной правовой базы.</w:t>
      </w:r>
      <w:r/>
    </w:p>
    <w:p>
      <w:pPr>
        <w:pStyle w:val="652"/>
        <w:ind w:firstLine="567"/>
        <w:jc w:val="both"/>
      </w:pPr>
      <w:r>
        <w:t xml:space="preserve">6</w:t>
      </w:r>
      <w:r>
        <w:t xml:space="preserve">. При осуществлении антикоррупционного мониторинга для обеспечения принятия, изменения или признания </w:t>
      </w:r>
      <w:r>
        <w:t xml:space="preserve">утратившими</w:t>
      </w:r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  <w:r/>
    </w:p>
    <w:p>
      <w:pPr>
        <w:pStyle w:val="652"/>
        <w:ind w:firstLine="567"/>
        <w:jc w:val="both"/>
      </w:pPr>
      <w:r>
        <w:t xml:space="preserve">1) несоблюдение гарантированных прав, свобод и законных интересов человека и гражданина;</w:t>
      </w:r>
      <w:r/>
    </w:p>
    <w:p>
      <w:pPr>
        <w:pStyle w:val="652"/>
        <w:ind w:firstLine="567"/>
        <w:jc w:val="both"/>
      </w:pPr>
      <w:r>
        <w:t xml:space="preserve">2) наличие муниципальных правовых актов, необходимость принятия которых предусмотрена актами большей юридической силы;</w:t>
      </w:r>
      <w:r/>
    </w:p>
    <w:p>
      <w:pPr>
        <w:pStyle w:val="652"/>
        <w:ind w:firstLine="567"/>
        <w:jc w:val="both"/>
      </w:pPr>
      <w:r>
        <w:t xml:space="preserve">3) несоблюдение пределов компетенции органа местного самоуправления при издании муниципального правового акта;</w:t>
      </w:r>
      <w:r/>
    </w:p>
    <w:p>
      <w:pPr>
        <w:pStyle w:val="652"/>
        <w:ind w:firstLine="567"/>
        <w:jc w:val="both"/>
      </w:pPr>
      <w:r>
        <w:t xml:space="preserve">4) наличие в муниципальном правовом акте коррупциогенных факторов;</w:t>
      </w:r>
      <w:r/>
    </w:p>
    <w:p>
      <w:pPr>
        <w:pStyle w:val="652"/>
        <w:ind w:firstLine="567"/>
        <w:jc w:val="both"/>
      </w:pPr>
      <w:r>
        <w:t xml:space="preserve">5) сроки приведения муниципальных правовых актов в соответствие с антикоррупционным законодательством Российской Федерации;</w:t>
      </w:r>
      <w:r/>
    </w:p>
    <w:p>
      <w:pPr>
        <w:pStyle w:val="652"/>
        <w:ind w:firstLine="567"/>
        <w:jc w:val="both"/>
      </w:pPr>
      <w:r>
        <w:t xml:space="preserve">6) неполнота в правовом регулировании общественных отношений;</w:t>
      </w:r>
      <w:r/>
    </w:p>
    <w:p>
      <w:pPr>
        <w:pStyle w:val="652"/>
        <w:ind w:firstLine="567"/>
        <w:jc w:val="both"/>
      </w:pPr>
      <w:r>
        <w:t xml:space="preserve">7) коллизия норм права;</w:t>
      </w:r>
      <w:r/>
    </w:p>
    <w:p>
      <w:pPr>
        <w:pStyle w:val="652"/>
        <w:ind w:firstLine="567"/>
        <w:jc w:val="both"/>
      </w:pPr>
      <w:r>
        <w:t xml:space="preserve">8) наличие ошибок юридико-технического характера;</w:t>
      </w:r>
      <w:r/>
    </w:p>
    <w:p>
      <w:pPr>
        <w:pStyle w:val="652"/>
        <w:ind w:firstLine="567"/>
        <w:jc w:val="both"/>
      </w:pPr>
      <w:r>
        <w:t xml:space="preserve">9) наличие противоречий в муниципальных правовых актах, регулирующих однородные отношения, принятых в разные периоды;</w:t>
      </w:r>
      <w:r/>
    </w:p>
    <w:p>
      <w:pPr>
        <w:pStyle w:val="652"/>
        <w:ind w:firstLine="567"/>
        <w:jc w:val="both"/>
      </w:pPr>
      <w:r>
        <w:t xml:space="preserve">10) искажение смысла положений муниципального правового акта при его применении;</w:t>
      </w:r>
      <w:r/>
    </w:p>
    <w:p>
      <w:pPr>
        <w:pStyle w:val="652"/>
        <w:ind w:firstLine="567"/>
        <w:jc w:val="both"/>
      </w:pPr>
      <w:r>
        <w:t xml:space="preserve">11) наличие (отсутствие) единообразной практики применения муниципальных правовых актов;</w:t>
      </w:r>
      <w:r/>
    </w:p>
    <w:p>
      <w:pPr>
        <w:pStyle w:val="652"/>
        <w:ind w:firstLine="567"/>
        <w:jc w:val="both"/>
      </w:pPr>
      <w:r>
        <w:t xml:space="preserve">12)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правовым актом, и основания их принятия.</w:t>
      </w:r>
      <w:r/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антикоррупционного мониторинга и при наличии предложений о проведении антикоррупционной экспертизы проектов муниципальных нормативных правовых актов, о внесении изменений либо признании утратившими силу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разработчики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подготавливают обоснованные предложения о необходимости принятия новых муниципальных правовых актов, внесения изменений в действующие муниципальные правовые акты или признания их утратившими силу и проекты соответствующих муниципальных 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отделы аппарата, структурные подразделения направляют в отдел правового и кадрового обеспечения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до 01 числа последнего месяца каждого квартала на антикоррупционную экспертизу в порядке, предусмотренном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правовых актов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округа Ставропольского края».</w:t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567"/>
        <w:rPr>
          <w:rFonts w:ascii="Times New Roman" w:hAnsi="Times New Roman" w:eastAsia="Calibri" w:cs="Times New Roman"/>
          <w:sz w:val="28"/>
          <w:szCs w:val="28"/>
          <w:lang w:bidi="en-US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9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 Результаты мониторинга учитываются при планировании и разработке муниципальных правовых актов.</w:t>
      </w:r>
      <w:r>
        <w:rPr>
          <w:rFonts w:ascii="Times New Roman" w:hAnsi="Times New Roman" w:eastAsia="Calibri" w:cs="Times New Roman"/>
          <w:sz w:val="28"/>
          <w:szCs w:val="28"/>
          <w:lang w:bidi="en-US"/>
        </w:rPr>
      </w:r>
    </w:p>
    <w:p>
      <w:pPr>
        <w:pStyle w:val="652"/>
        <w:ind w:firstLine="567"/>
        <w:jc w:val="both"/>
        <w:rPr>
          <w:sz w:val="24"/>
          <w:szCs w:val="24"/>
        </w:rPr>
      </w:pPr>
      <w:r>
        <w:t xml:space="preserve">10</w:t>
      </w:r>
      <w:r>
        <w:t xml:space="preserve">. Поступившие в администрацию результаты антикоррупционного мониторинга применения муниципальных правовых актов, проведенного гражданами, их объединениями, индивидуальными предпринимателями, юридическими лицами, носят рекомендательный характер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0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0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0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 w:customStyle="1">
    <w:name w:val="[No paragraph style]"/>
    <w:pPr>
      <w:spacing w:line="288" w:lineRule="auto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644" w:customStyle="1">
    <w:name w:val="ConsNormal"/>
    <w:pPr>
      <w:ind w:firstLine="720"/>
      <w:jc w:val="left"/>
      <w:widowControl w:val="off"/>
    </w:pPr>
    <w:rPr>
      <w:rFonts w:ascii="Arial" w:hAnsi="Arial" w:eastAsia="Arial" w:cs="Arial"/>
      <w:sz w:val="16"/>
      <w:szCs w:val="16"/>
      <w:lang w:eastAsia="ar-SA"/>
    </w:rPr>
  </w:style>
  <w:style w:type="paragraph" w:styleId="645" w:customStyle="1">
    <w:name w:val="Пункты"/>
    <w:basedOn w:val="639"/>
    <w:qFormat/>
    <w:pPr>
      <w:ind w:hanging="227"/>
      <w:jc w:val="left"/>
      <w:spacing w:line="276" w:lineRule="exact"/>
      <w:shd w:val="clear" w:color="auto" w:fill="ffffff"/>
      <w:widowControl w:val="off"/>
    </w:pPr>
    <w:rPr>
      <w:rFonts w:ascii="Times New Roman" w:hAnsi="Times New Roman" w:eastAsia="Lucida Sans Unicode" w:cs="Times New Roman"/>
      <w:sz w:val="26"/>
      <w:szCs w:val="26"/>
    </w:rPr>
  </w:style>
  <w:style w:type="paragraph" w:styleId="646">
    <w:name w:val="List Paragraph"/>
    <w:basedOn w:val="639"/>
    <w:uiPriority w:val="34"/>
    <w:qFormat/>
    <w:pPr>
      <w:contextualSpacing/>
      <w:ind w:left="720"/>
    </w:pPr>
  </w:style>
  <w:style w:type="character" w:styleId="647" w:customStyle="1">
    <w:name w:val="Font Style13"/>
    <w:rPr>
      <w:rFonts w:ascii="Times New Roman" w:hAnsi="Times New Roman"/>
      <w:sz w:val="26"/>
    </w:rPr>
  </w:style>
  <w:style w:type="character" w:styleId="648">
    <w:name w:val="Hyperlink"/>
    <w:basedOn w:val="640"/>
    <w:uiPriority w:val="99"/>
    <w:rPr>
      <w:rFonts w:cs="Times New Roman"/>
      <w:color w:val="0000ff"/>
      <w:u w:val="single"/>
    </w:rPr>
  </w:style>
  <w:style w:type="character" w:styleId="649" w:customStyle="1">
    <w:name w:val="apple-converted-space"/>
    <w:basedOn w:val="640"/>
  </w:style>
  <w:style w:type="paragraph" w:styleId="650">
    <w:name w:val="Balloon Text"/>
    <w:basedOn w:val="639"/>
    <w:link w:val="651"/>
    <w:uiPriority w:val="99"/>
    <w:semiHidden/>
    <w:unhideWhenUsed/>
    <w:rPr>
      <w:rFonts w:ascii="Tahoma" w:hAnsi="Tahoma" w:cs="Tahoma"/>
      <w:sz w:val="16"/>
      <w:szCs w:val="16"/>
    </w:rPr>
  </w:style>
  <w:style w:type="character" w:styleId="651" w:customStyle="1">
    <w:name w:val="Текст выноски Знак"/>
    <w:basedOn w:val="640"/>
    <w:link w:val="650"/>
    <w:uiPriority w:val="99"/>
    <w:semiHidden/>
    <w:rPr>
      <w:rFonts w:ascii="Tahoma" w:hAnsi="Tahoma" w:cs="Tahoma"/>
      <w:sz w:val="16"/>
      <w:szCs w:val="16"/>
    </w:rPr>
  </w:style>
  <w:style w:type="paragraph" w:styleId="652" w:customStyle="1">
    <w:name w:val="ConsPlusNormal"/>
    <w:pPr>
      <w:jc w:val="left"/>
    </w:pPr>
    <w:rPr>
      <w:rFonts w:ascii="Times New Roman" w:hAnsi="Times New Roman" w:eastAsia="Times New Roman" w:cs="Times New Roman"/>
      <w:sz w:val="28"/>
      <w:szCs w:val="28"/>
    </w:rPr>
  </w:style>
  <w:style w:type="paragraph" w:styleId="653" w:customStyle="1">
    <w:name w:val="Основной текст 21"/>
    <w:basedOn w:val="639"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654">
    <w:name w:val="No Spacing"/>
    <w:basedOn w:val="639"/>
    <w:link w:val="655"/>
    <w:qFormat/>
    <w:rPr>
      <w:rFonts w:ascii="Times New Roman" w:hAnsi="Times New Roman" w:eastAsia="Calibri" w:cs="Times New Roman"/>
      <w:sz w:val="28"/>
      <w:lang w:val="en-US" w:eastAsia="en-US" w:bidi="en-US"/>
    </w:rPr>
  </w:style>
  <w:style w:type="character" w:styleId="655" w:customStyle="1">
    <w:name w:val="Без интервала Знак"/>
    <w:basedOn w:val="640"/>
    <w:link w:val="654"/>
    <w:uiPriority w:val="1"/>
    <w:rPr>
      <w:rFonts w:ascii="Times New Roman" w:hAnsi="Times New Roman" w:eastAsia="Calibri" w:cs="Times New Roman"/>
      <w:sz w:val="28"/>
      <w:lang w:val="en-US" w:eastAsia="en-US" w:bidi="en-US"/>
    </w:rPr>
  </w:style>
  <w:style w:type="paragraph" w:styleId="656" w:customStyle="1">
    <w:name w:val="ConsPlusTitle"/>
    <w:pPr>
      <w:jc w:val="left"/>
      <w:widowControl w:val="off"/>
    </w:pPr>
    <w:rPr>
      <w:rFonts w:ascii="Calibri" w:hAnsi="Calibri" w:eastAsia="Times New Roman" w:cs="Calibri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65799" TargetMode="External"/><Relationship Id="rId11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077&amp;n=209455&amp;dst=100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DF43-F688-4D8F-B1CD-19EA9330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5</cp:revision>
  <dcterms:created xsi:type="dcterms:W3CDTF">2024-01-15T07:46:00Z</dcterms:created>
  <dcterms:modified xsi:type="dcterms:W3CDTF">2024-01-17T11:31:17Z</dcterms:modified>
</cp:coreProperties>
</file>