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ind w:left="4395" w:firstLine="0"/>
        <w:jc w:val="right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ПАСПОРТ ИНИЦИАТИВНОГО ПРОЕКТА</w:t>
      </w: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jc w:val="center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Наименование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Обустройство детской площадки вблизи МК ДОУ детского сада № 26 с. Золотаревка Ипатовского муниципального округа Ставропольского края.</w:t>
      </w:r>
    </w:p>
    <w:p>
      <w:pPr>
        <w:pStyle w:val="Основной текст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Место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Муниципальное образование Ставропольского края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Ипатовский  муниципальный округ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2.2.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Населенный пункт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Золотаревка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: 977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Сведения об участниках инициативной группы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сформированной по итогам собрания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граждан по выбору инициативного проекта для участия в конкурсном отборе и готовности принять участие в его реализации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том числе из числа жителей муниципального образования Ставропольского края или представителей органов территориального общественного самоуправления или старосты сельского населенного пункта или иных лиц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определенных нормативным правовым актом представительного органа муниципального образования Ставропольского края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подготовивших и выдвинувших инициативный проект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инициативная группа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):</w:t>
      </w:r>
    </w:p>
    <w:p>
      <w:pPr>
        <w:pStyle w:val="Основной текст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ab/>
        <w:t>
          Кищаева Ирина Александровна,
          <w:br/>
          Герасименко Виолетта Дмитриевна,
          <w:br/>
          Сигида Венера Александровна,
          <w:br/>
          Еремина Галина Васильевна,
          <w:br/>
          Ковалева Елена Ивановна,
          <w:br/>
          Мерзликин Василий Иванович,
          <w:br/>
          Таран Лилия Александровна,
          <w:br/>
          Артюхова Любовь Петровна,
          <w:br/>
          Назаренко Светлана Михайловна
        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Тип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Создание условий для массового отдыха жителей и организация обустройства мест массового отдыха населения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Обоснование необходимости реализации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сути проблемы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степень ее важности для населения и 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.):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    Село Золотаревка расположено на расстоянии 40 км. от центра Ипатовского  муниципального округа г.Ипатово  и от краевого центра г.Ставрополь -120 км. В  селе Золотаревка проживает большое количество детей, что предусматривает создание мест где они могли бы активно поиграть. Таких мест  в селе к сожалению только одно. Детская площадка в большей степени решит эту проблему.   Обустройство площадки поможет эффективно решить проблему малоподвижного образа жизни детей, привлечет их к активному отдыху, давая возможность проводить свободное время с пользой. Площадка позволит общаться всей семьей с привлечением людей среднего и пожилого возраста (родителей, бабушек, дедушек). В результате обустройства  детской площадки в  селе Золотаревка увеличит количество общественных   территорий, соответствующих требованиям современной городской среды и отвечающих нормативным требованиям на 1 единицу. Появится благоустроенное место общения, как взрослых, так и детей, это будет также служить эстетическим воспитательным фактором для населения.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Мероприятия по решению проблемы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конкретных способов решения проблемы в рамках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необходимых подготовительных мероприятий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того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что необходимо отремонтировать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;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иной необходимой деятельности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направленной на решение поставленной проблемы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Определено место, изготовлена проектно-сметная документация. Необходимо произвести планировку земельного участка, очистить от травы, поросли, деревьев.  Устройство покрытия , монтаж оборудования.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Использование средств массовой информации и других средств изучения общественного мнения при разработке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указать ссылки на источники информации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-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ab/>
        <w:t>Прилагается: &lt;w:br/&gt;экземпляр местной газеты и/или ссылка на сайт администрации в информационно-телекоммуникационной сети «Интернет», содержащей информацию о намерении муниципального образования участвовать в конкурсном отборе, о целях проведения конкурсного отбора, возможных направлениях участия в конкурсном отборе (в кратком изложении), информацию о дате проведения собрания граждан для определения приоритетного направления участия в конкурсном отборе, а также о способах направления гражданами предложений о приоритетных направлениях развития муниципального образования, либо о реализации конкретного проекта; &lt;w:br/&gt;http://www.ipatovo.org/page.php?id=24953&lt;w:br/&gt;https://t.me/glavaipatovo/10636&lt;w:br/&gt;https://ok.ru/profile/580477705030/statuses/156372132703046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5.5.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Ожидаемые результаты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описание конкретных изменений в населенном пункте к которым приведет реализация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 возможности их количественная характеристика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динамика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На территории села Золотаревка увеличится количество благоустроенных общественных территорий на 1 единицу. Появится еще одно место досуга для детей и семейного досуга. Активные игры на детском игровом 
 оборудовании будут способствовать физическому развитию и оздоровлению детей. Реализация проекта повысит уровень доверия к органам местного самоуправления.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6.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которое непосредственно получит пользу от реализации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Все жители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 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Информация об объекте общественной инфраструктуры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объект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Дата постройки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01.12.2025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Общая характеристика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Детская площадка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Текущее состояние объекта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: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Объект не существует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7.4.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Права собственности на объект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singl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Управление по работе с территориями администрации Ипатовского муниципального округа Ставропольского края
Постоянное бессрочное пользование с 18.07.2024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Прогнозируемый объем финансирования инициативного проекта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согласно технической документации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2 987 519,5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 том числе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субсидии из бюджета Ставропольского края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1 678 000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средств из бюджета муниципального образования Ставропольского края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559 519,5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8.3.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Объем инициативных платежей населения населенного пункта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сумма должна соответствовать подтверждающим материалам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150 000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8.4.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Объем инициативных платежей индивидуальных предпринимателей и организаций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осуществляющих деятельность на территории Ставропольского края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далее – индивидуальные предприниматели и организации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сумма должна соответствовать гарантийным письмам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600 000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9.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Уровень софинансирования инициативного проекта за счет средств местного бюджета составит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25.01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процентов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(8.2/(8.1+8.2))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×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100 %.</w:t>
      </w:r>
    </w:p>
    <w:p>
      <w:pPr>
        <w:pStyle w:val="Основной текст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10.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Численность населения населенного пункта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изъявивших желание принять трудовое участие в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  <w:br w:type="textWrapping"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69 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человек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форме добровольного имущественного и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или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трудового участия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натуральной форме 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Вклад индивидуальных предпринимателей и организаций в реализацию инициативного проекта в форме безвозмездного оказания услуг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выполнения работ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)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–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0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рублей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228" w:lineRule="auto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12.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Общая оценочная стоимость реализации инициативного проекта представлена в таблице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"/>
        <w:spacing w:line="228" w:lineRule="auto"/>
        <w:ind w:firstLine="709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228" w:lineRule="auto"/>
        <w:jc w:val="right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Таблица</w:t>
      </w:r>
    </w:p>
    <w:tbl>
      <w:tblPr>
        <w:tblW w:w="942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4"/>
        <w:gridCol w:w="6859"/>
        <w:gridCol w:w="2086"/>
      </w:tblGrid>
      <w:tr>
        <w:tblPrEx>
          <w:shd w:val="clear" w:color="auto" w:fill="ced7e7"/>
        </w:tblPrEx>
        <w:trPr>
          <w:trHeight w:val="927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№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Форма вклада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line="228" w:lineRule="auto"/>
              <w:jc w:val="center"/>
              <w:rPr>
                <w:sz w:val="28"/>
                <w:szCs w:val="28"/>
                <w:shd w:val="nil" w:color="auto" w:fill="auto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Оценочная</w:t>
            </w:r>
          </w:p>
          <w:p>
            <w:pPr>
              <w:pStyle w:val="Основной текст"/>
              <w:bidi w:val="0"/>
              <w:spacing w:line="228" w:lineRule="auto"/>
              <w:ind w:left="0" w:right="0" w:firstLine="0"/>
              <w:jc w:val="center"/>
              <w:rPr>
                <w:sz w:val="28"/>
                <w:szCs w:val="28"/>
                <w:shd w:val="nil" w:color="auto" w:fill="auto"/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стоимость</w:t>
            </w:r>
          </w:p>
          <w:p>
            <w:pPr>
              <w:pStyle w:val="Основной текст"/>
              <w:bidi w:val="0"/>
              <w:spacing w:line="228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рублей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623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1.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Денежная форма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8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2 987 519,5</w:t>
            </w:r>
          </w:p>
        </w:tc>
      </w:tr>
      <w:tr>
        <w:tblPrEx>
          <w:shd w:val="clear" w:color="auto" w:fill="ced7e7"/>
        </w:tblPrEx>
        <w:trPr>
          <w:trHeight w:val="623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2.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Натуральная форма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подпункту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11.1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927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3.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Безвозмездное оказание услуг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выполнение работ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 (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согласно подпункту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 xml:space="preserve">11.2 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паспорта инициативного проекта</w:t>
            </w: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)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18" w:hRule="atLeast"/>
        </w:trPr>
        <w:tc>
          <w:tcPr>
            <w:tcW w:type="dxa" w:w="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4.</w:t>
            </w:r>
          </w:p>
        </w:tc>
        <w:tc>
          <w:tcPr>
            <w:tcW w:type="dxa" w:w="68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both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Итого</w:t>
            </w:r>
          </w:p>
        </w:tc>
        <w:tc>
          <w:tcPr>
            <w:tcW w:type="dxa" w:w="20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line="228" w:lineRule="auto"/>
              <w:jc w:val="center"/>
            </w:pPr>
            <w:r>
              <w:rPr>
                <w:sz w:val="28"/>
                <w:szCs w:val="28"/>
                <w:shd w:val="nil" w:color="auto" w:fill="auto"/>
                <w:rtl w:val="0"/>
                <w:lang w:val="ru-RU"/>
              </w:rPr>
              <w:t>2 987 519,5</w:t>
            </w:r>
          </w:p>
        </w:tc>
      </w:tr>
    </w:tbl>
    <w:p>
      <w:pPr>
        <w:pStyle w:val="Основной текст"/>
        <w:widowControl w:val="0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ind w:firstLine="709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11. 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Прогнозируемый срок завершения реализации инициативного проекта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: 01.12.2025.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 xml:space="preserve">Ответственный исполнитель 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Герасименко В. В.</w:t>
        <w:tab/>
        <w:tab/>
      </w:r>
      <w:r>
        <w:rPr>
          <w:sz w:val="28"/>
          <w:szCs w:val="28"/>
        </w:rPr>
        <w:tab/>
        <w:tab/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______________</w:t>
        <w:tab/>
        <w:t>___________________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 </w:t>
        <w:tab/>
        <w:tab/>
        <w:tab/>
        <w:tab/>
        <w:tab/>
        <w:tab/>
        <w:tab/>
        <w:t>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подпись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                 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расшифровка подписи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sz w:val="28"/>
          <w:szCs w:val="28"/>
          <w:rtl w:val="0"/>
          <w:lang w:val="en-US"/>
        </w:rPr>
        <w:t>Глава Золотаревского территориального отдела по работе с населением86542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+78654260798, </w:t>
      </w:r>
      <w:r>
        <w:rPr>
          <w:sz w:val="28"/>
          <w:szCs w:val="28"/>
          <w:rtl w:val="0"/>
          <w:lang w:val="en-US"/>
        </w:rPr>
        <w:t>zolotarevkaa@mail.ru</w:t>
      </w: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Представитель инициативной группы</w:t>
      </w: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 xml:space="preserve">:        </w:t>
      </w: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Основной текст"/>
        <w:spacing w:line="196" w:lineRule="auto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Гончарова Галина Ивановна</w:t>
        <w:tab/>
        <w:tab/>
        <w:t>______________</w:t>
        <w:tab/>
        <w:t>___________________</w:t>
      </w:r>
    </w:p>
    <w:p>
      <w:pPr>
        <w:pStyle w:val="Основной текст"/>
        <w:spacing w:line="196" w:lineRule="auto"/>
        <w:ind w:left="4248" w:firstLine="708"/>
        <w:jc w:val="both"/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подпись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                    (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ru-RU"/>
          <w14:textFill>
            <w14:solidFill>
              <w14:srgbClr w14:val="000000"/>
            </w14:solidFill>
          </w14:textFill>
        </w:rPr>
        <w:t>расшифровка подписи</w:t>
      </w:r>
      <w:r>
        <w:rPr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14:textFill>
            <w14:solidFill>
              <w14:srgbClr w14:val="000000"/>
            </w14:solidFill>
          </w14:textFill>
        </w:rPr>
        <w:t>)</w:t>
      </w:r>
    </w:p>
    <w:p>
      <w:pPr>
        <w:pStyle w:val="Основной текст"/>
        <w:spacing w:line="196" w:lineRule="auto"/>
      </w:pPr>
      <w:r>
        <w:rPr>
          <w:caps w:val="0"/>
          <w:smallCaps w:val="0"/>
          <w:strike w:val="0"/>
          <w:dstrike w:val="0"/>
          <w:outline w:val="0"/>
          <w:color w:val="000000"/>
          <w:sz w:val="28"/>
          <w:szCs w:val="28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34" w:right="567" w:bottom="1134" w:left="1985" w:header="709" w:footer="720"/>
      <w:pgNumType w:start="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Основной текст"/>
      <w:tabs>
        <w:tab w:val="center" w:pos="4677"/>
        <w:tab w:val="right" w:pos="9328"/>
      </w:tabs>
      <w:jc w:val="right"/>
    </w:pP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begin" w:fldLock="0"/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instrText xml:space="preserve"> PAGE </w:instrText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separate" w:fldLock="0"/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</w:r>
    <w:r>
      <w:rPr>
        <w:caps w:val="0"/>
        <w:smallCaps w:val="0"/>
        <w:strike w:val="0"/>
        <w:dstrike w:val="0"/>
        <w:outline w:val="0"/>
        <w:color w:val="000000"/>
        <w:sz w:val="28"/>
        <w:szCs w:val="28"/>
        <w:u w:val="none" w:color="000000"/>
        <w:shd w:val="nil" w:color="auto" w:fill="auto"/>
        <w:vertAlign w:val="baseline"/>
        <w14:textFill>
          <w14:solidFill>
            <w14:srgbClr w14:val="000000"/>
          </w14:solidFill>
        </w14:textFill>
      </w:rPr>
      <w:fldChar w:fldCharType="end" w:fldLock="0"/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