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Приложение 1</w:t>
      </w:r>
    </w:p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к дополнительным документам</w:t>
      </w:r>
    </w:p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муниципальной программы «Развитие  </w:t>
      </w:r>
    </w:p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физической культуры и массового спорта </w:t>
      </w:r>
    </w:p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на территории Ипатовского муниципального  округа</w:t>
      </w:r>
    </w:p>
    <w:p>
      <w:pPr>
        <w:spacing w:after="0" w:line="240" w:lineRule="auto"/>
        <w:ind w:left="9202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 Ставропольского края»</w:t>
      </w:r>
    </w:p>
    <w:p>
      <w:pPr>
        <w:spacing w:after="0" w:line="240" w:lineRule="auto"/>
        <w:jc w:val="center"/>
        <w:rPr>
          <w:rFonts w:ascii="Calibri" w:hAnsi="Calibri" w:eastAsia="Calibri" w:cs="Calibri"/>
        </w:rPr>
      </w:pPr>
    </w:p>
    <w:p>
      <w:pPr>
        <w:spacing w:after="0" w:line="240" w:lineRule="auto"/>
        <w:jc w:val="center"/>
        <w:rPr>
          <w:rFonts w:ascii="Calibri" w:hAnsi="Calibri" w:eastAsia="Calibri" w:cs="Calibri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Сведения об источнике информации и методике расчета индикаторов достижения целей муниципальной Программы «Развитие физической культуры и массового спорта на территории Ипатовского муниципального округа Ставропольского края» и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показателей решения задач подпрограмм Программы</w:t>
      </w:r>
    </w:p>
    <w:p>
      <w:pPr>
        <w:spacing w:after="0" w:line="240" w:lineRule="auto"/>
        <w:jc w:val="center"/>
        <w:rPr>
          <w:rFonts w:ascii="Calibri" w:hAnsi="Calibri" w:eastAsia="Calibri" w:cs="Calibri"/>
        </w:rPr>
      </w:pPr>
    </w:p>
    <w:tbl>
      <w:tblPr>
        <w:tblStyle w:val="3"/>
        <w:tblW w:w="0" w:type="auto"/>
        <w:tblInd w:w="-7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83"/>
        <w:gridCol w:w="3661"/>
        <w:gridCol w:w="1920"/>
        <w:gridCol w:w="4847"/>
        <w:gridCol w:w="334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№п/п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Единица</w:t>
            </w:r>
          </w:p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измерения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Источник информации</w:t>
            </w:r>
          </w:p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(методика расчета) </w:t>
            </w:r>
            <w:r>
              <w:rPr>
                <w:rFonts w:ascii="Times New Roman" w:hAnsi="Times New Roman" w:eastAsia="Times New Roman" w:cs="Times New Roman"/>
                <w:sz w:val="28"/>
                <w:vertAlign w:val="superscript"/>
              </w:rPr>
              <w:t>11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>
              <w:rPr>
                <w:rFonts w:ascii="Times New Roman" w:hAnsi="Times New Roman" w:eastAsia="Times New Roman" w:cs="Times New Roman"/>
                <w:sz w:val="28"/>
                <w:vertAlign w:val="superscript"/>
              </w:rPr>
              <w:t>12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3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4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145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tabs>
                <w:tab w:val="left" w:pos="7472"/>
              </w:tabs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Программа «Развитие  физической культуры и массового спорта на территории  Ипатовского муниципального округа Ставропольского края»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</w:t>
            </w:r>
          </w:p>
        </w:tc>
        <w:tc>
          <w:tcPr>
            <w:tcW w:w="137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Индикатор достижения цели Программы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1.1.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>Доля населения, систематически занимающегося физической культурой и спортом в Ипатовском муниципальном округе Ставропольского края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процентов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Государственная ежегодная статистическая отчетность по форме 1-ФК Расчет доли населения занимающихся физической культурой, спортом и туризмом на постоянной основе рассчитывается по формуле: Д = Н /К х 100%, где: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Д – доля населения занимающихся физической культурой, спортом и туризмом на постоянной основе;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Н – количество занимающихся; 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</w:rPr>
              <w:t>К – число жителей района проживающих на территор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ии округа в </w:t>
            </w:r>
            <w:r>
              <w:rPr>
                <w:rFonts w:ascii="Times New Roman" w:hAnsi="Times New Roman" w:eastAsia="Times New Roman" w:cs="Times New Roman"/>
                <w:sz w:val="28"/>
              </w:rPr>
              <w:t>отчетном году.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Ежегодно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1.2.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>количество проведенных физкультурных и спортивных мероприятий Ипатовского муниципального округа Ставропольского края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единиц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Не требует расчета, определяется согласно календарного плана физкультурно-оздоровительных и спортивных мероприятий на год.</w:t>
            </w:r>
          </w:p>
          <w:p>
            <w:pPr>
              <w:spacing w:after="0" w:line="240" w:lineRule="auto"/>
            </w:pP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Ежегодно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1.3.</w:t>
            </w:r>
          </w:p>
        </w:tc>
        <w:tc>
          <w:tcPr>
            <w:tcW w:w="3661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>Обеспечение доступа к открытым спортивным объектам для свободного пользования населением</w:t>
            </w:r>
          </w:p>
        </w:tc>
        <w:tc>
          <w:tcPr>
            <w:tcW w:w="1920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процентов</w:t>
            </w:r>
          </w:p>
        </w:tc>
        <w:tc>
          <w:tcPr>
            <w:tcW w:w="4847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</w:rPr>
              <w:t>Рассчитывается исходя из опроса населения путем анкетирования</w:t>
            </w:r>
          </w:p>
        </w:tc>
        <w:tc>
          <w:tcPr>
            <w:tcW w:w="3345" w:type="dxa"/>
            <w:tcBorders>
              <w:top w:val="singl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Ежегодно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145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Подпрограмма 1«Обеспечение условий для развития физической культуры и спорта в Ипатовском муниципальном округе»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2.</w:t>
            </w:r>
          </w:p>
        </w:tc>
        <w:tc>
          <w:tcPr>
            <w:tcW w:w="137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Показатели решения задач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2.1.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>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рублей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А= </w:t>
            </w:r>
            <w:r>
              <w:rPr>
                <w:rFonts w:ascii="Times New Roman" w:hAnsi="Times New Roman" w:eastAsia="Times New Roman" w:cs="Times New Roman"/>
                <w:sz w:val="28"/>
                <w:u w:val="single"/>
              </w:rPr>
              <w:t>с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       v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Где: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</w:rPr>
            </w:pPr>
            <w:r>
              <w:rPr>
                <w:rFonts w:ascii="Times New Roman" w:hAnsi="Times New Roman" w:eastAsia="Times New Roman" w:cs="Times New Roman"/>
                <w:sz w:val="28"/>
              </w:rPr>
              <w:t>с –  сумма месячного фонда заработной платы учреждений;</w:t>
            </w:r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v– суммарная численность штатных работников учреждений 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Ежегодно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2.2.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>Доля обучающихся, систематически занимающихся физической культурой и спортом, в общей численности обучающихся.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процентов</w:t>
            </w:r>
            <w:bookmarkStart w:id="0" w:name="_GoBack"/>
            <w:bookmarkEnd w:id="0"/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</w:rPr>
              <w:t>Государственная ежегодная статистическая отчетность по форме 1-ФК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</w:tcPr>
          <w:p>
            <w:pPr>
              <w:spacing w:after="0" w:line="240" w:lineRule="auto"/>
              <w:ind w:left="57"/>
            </w:pPr>
            <w:r>
              <w:rPr>
                <w:rFonts w:ascii="Times New Roman" w:hAnsi="Times New Roman" w:eastAsia="Times New Roman" w:cs="Times New Roman"/>
                <w:sz w:val="28"/>
              </w:rPr>
              <w:t xml:space="preserve">Ежегодно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2.3.</w:t>
            </w:r>
          </w:p>
        </w:tc>
        <w:tc>
          <w:tcPr>
            <w:tcW w:w="3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  <w:vAlign w:val="top"/>
          </w:tcPr>
          <w:p>
            <w:pPr>
              <w:spacing w:after="0" w:line="240" w:lineRule="auto"/>
              <w:ind w:left="57" w:leftChars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Уровень обеспеченности населения Ипатовского муниципального округа Ставропольского края спортивными сооружениями исходя из единовременной пропускной способности объектов спорта в Ипатовском муниципальном округе Ставропольского края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  <w:vAlign w:val="top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процентов</w:t>
            </w:r>
          </w:p>
        </w:tc>
        <w:tc>
          <w:tcPr>
            <w:tcW w:w="4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28" w:type="dxa"/>
              <w:right w:w="28" w:type="dxa"/>
            </w:tcMar>
            <w:vAlign w:val="top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Приказ Министерства спорта Российской Федерации от 21 марта 2018 г. №244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При определении нормативной потребности субъектов Российской Федерации в объектах физической культуры и спорта рекомендуется использовать усредненный норматив ЕПС (ЕПСнорм) — 122 человека на 1000 населения.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Еф=((О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  <w:vertAlign w:val="subscript"/>
              </w:rPr>
              <w:t>1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+О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+О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  <w:vertAlign w:val="subscript"/>
              </w:rPr>
              <w:t>3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>… +О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  <w:vertAlign w:val="subscript"/>
              </w:rPr>
              <w:t>n</w:t>
            </w: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) / ЕПСнорм) * 100%, где: 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Еф - 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Уровень обеспеченности населения;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О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  <w:vertAlign w:val="subscript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+О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+О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  <w:vertAlign w:val="subscript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… +О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  <w:vertAlign w:val="subscript"/>
              </w:rPr>
              <w:t>n —</w:t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highlight w:val="none"/>
              </w:rPr>
              <w:t>единовременная пропускная способность каждого имеющегося спортивного объекта</w:t>
            </w:r>
          </w:p>
        </w:tc>
        <w:tc>
          <w:tcPr>
            <w:tcW w:w="3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28" w:type="dxa"/>
              <w:right w:w="28" w:type="dxa"/>
            </w:tcMar>
            <w:vAlign w:val="top"/>
          </w:tcPr>
          <w:p>
            <w:pPr>
              <w:spacing w:after="0" w:line="240" w:lineRule="auto"/>
              <w:ind w:left="57" w:leftChars="0"/>
              <w:rPr>
                <w:rFonts w:ascii="Times New Roman" w:hAnsi="Times New Roman" w:eastAsia="Times New Roman" w:cs="Times New Roman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highlight w:val="none"/>
              </w:rPr>
              <w:t xml:space="preserve">Ежегодно </w:t>
            </w:r>
          </w:p>
        </w:tc>
      </w:tr>
    </w:tbl>
    <w:p>
      <w:pPr>
        <w:spacing w:after="0" w:line="240" w:lineRule="auto"/>
        <w:jc w:val="center"/>
        <w:rPr>
          <w:rFonts w:ascii="Calibri" w:hAnsi="Calibri" w:eastAsia="Calibri" w:cs="Calibri"/>
        </w:rPr>
      </w:pPr>
    </w:p>
    <w:sectPr>
      <w:pgSz w:w="16838" w:h="11906" w:orient="landscape"/>
      <w:pgMar w:top="85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C69A2"/>
    <w:rsid w:val="004C69A2"/>
    <w:rsid w:val="00566C6A"/>
    <w:rsid w:val="008D2409"/>
    <w:rsid w:val="00926D52"/>
    <w:rsid w:val="009A5197"/>
    <w:rsid w:val="2BA077DD"/>
    <w:rsid w:val="74B6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526</Words>
  <Characters>3004</Characters>
  <Lines>25</Lines>
  <Paragraphs>7</Paragraphs>
  <TotalTime>2</TotalTime>
  <ScaleCrop>false</ScaleCrop>
  <LinksUpToDate>false</LinksUpToDate>
  <CharactersWithSpaces>3523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2020-11-06T10:57:00Z</dcterms:created>
  <dc:creator>Admin</dc:creator>
  <cp:lastModifiedBy>Kingsoft Corporation</cp:lastModifiedBy>
  <cp:lastPrinted>2020-11-06T10:58:00Z</cp:lastPrinted>
  <dcterms:modified xsi:type="dcterms:W3CDTF">2023-09-27T11:14:06Z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CF6D367CE41E46219C9DC677C1F3EFBB_12</vt:lpwstr>
  </property>
</Properties>
</file>