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54" w:rsidRPr="003C3354" w:rsidRDefault="003C3354" w:rsidP="00C7175E">
      <w:pPr>
        <w:suppressAutoHyphens/>
        <w:jc w:val="right"/>
        <w:rPr>
          <w:lang w:val="ru-RU"/>
        </w:rPr>
      </w:pPr>
      <w:r w:rsidRPr="003C3354">
        <w:rPr>
          <w:szCs w:val="28"/>
          <w:lang w:val="ru-RU"/>
        </w:rPr>
        <w:t>Проект</w:t>
      </w:r>
    </w:p>
    <w:p w:rsidR="003C3354" w:rsidRPr="003C3354" w:rsidRDefault="003C3354" w:rsidP="00C7175E">
      <w:pPr>
        <w:suppressAutoHyphens/>
        <w:jc w:val="center"/>
        <w:rPr>
          <w:lang w:val="ru-RU"/>
        </w:rPr>
      </w:pPr>
      <w:r w:rsidRPr="003C3354">
        <w:rPr>
          <w:b/>
          <w:sz w:val="40"/>
          <w:szCs w:val="40"/>
          <w:lang w:val="ru-RU"/>
        </w:rPr>
        <w:t>ПОСТАНОВЛЕНИЕ</w:t>
      </w:r>
    </w:p>
    <w:p w:rsidR="003C3354" w:rsidRPr="003C3354" w:rsidRDefault="003C3354" w:rsidP="00C7175E">
      <w:pPr>
        <w:suppressAutoHyphens/>
        <w:jc w:val="center"/>
        <w:rPr>
          <w:lang w:val="ru-RU"/>
        </w:rPr>
      </w:pPr>
      <w:r w:rsidRPr="003C3354">
        <w:rPr>
          <w:b/>
          <w:sz w:val="26"/>
          <w:szCs w:val="26"/>
          <w:lang w:val="ru-RU"/>
        </w:rPr>
        <w:t xml:space="preserve">АДМИНИСТРАЦИИ ИПАТОВСКОГО </w:t>
      </w:r>
      <w:r w:rsidR="004D0257">
        <w:rPr>
          <w:b/>
          <w:sz w:val="26"/>
          <w:szCs w:val="26"/>
          <w:lang w:val="ru-RU"/>
        </w:rPr>
        <w:t>МУНИЦИПАЛЬНОГО</w:t>
      </w:r>
      <w:r w:rsidRPr="003C3354">
        <w:rPr>
          <w:b/>
          <w:sz w:val="26"/>
          <w:szCs w:val="26"/>
          <w:lang w:val="ru-RU"/>
        </w:rPr>
        <w:t xml:space="preserve"> ОКРУГА </w:t>
      </w:r>
    </w:p>
    <w:p w:rsidR="003C3354" w:rsidRPr="003C3354" w:rsidRDefault="003C3354" w:rsidP="00C7175E">
      <w:pPr>
        <w:suppressAutoHyphens/>
        <w:jc w:val="center"/>
        <w:rPr>
          <w:lang w:val="ru-RU"/>
        </w:rPr>
      </w:pPr>
      <w:r w:rsidRPr="003C3354">
        <w:rPr>
          <w:b/>
          <w:sz w:val="26"/>
          <w:szCs w:val="26"/>
          <w:lang w:val="ru-RU"/>
        </w:rPr>
        <w:t>СТАВРОПОЛЬСКОГО КРАЯ</w:t>
      </w:r>
    </w:p>
    <w:p w:rsidR="003C3354" w:rsidRDefault="003C3354" w:rsidP="00C7175E">
      <w:pPr>
        <w:suppressAutoHyphens/>
        <w:rPr>
          <w:b/>
          <w:sz w:val="26"/>
          <w:szCs w:val="28"/>
          <w:lang w:val="ru-RU"/>
        </w:rPr>
      </w:pPr>
    </w:p>
    <w:p w:rsidR="00A01DFB" w:rsidRPr="003C3354" w:rsidRDefault="00A01DFB" w:rsidP="00C7175E">
      <w:pPr>
        <w:suppressAutoHyphens/>
        <w:rPr>
          <w:b/>
          <w:sz w:val="26"/>
          <w:szCs w:val="28"/>
          <w:lang w:val="ru-RU"/>
        </w:rPr>
      </w:pPr>
    </w:p>
    <w:p w:rsidR="003C3354" w:rsidRPr="003C3354" w:rsidRDefault="00FF582A" w:rsidP="00C7175E">
      <w:pPr>
        <w:suppressAutoHyphens/>
        <w:rPr>
          <w:lang w:val="ru-RU"/>
        </w:rPr>
      </w:pPr>
      <w:r>
        <w:rPr>
          <w:szCs w:val="28"/>
          <w:lang w:val="ru-RU"/>
        </w:rPr>
        <w:t>«____»_________ 202</w:t>
      </w:r>
      <w:r w:rsidR="004D0257">
        <w:rPr>
          <w:szCs w:val="28"/>
          <w:lang w:val="ru-RU"/>
        </w:rPr>
        <w:t>3</w:t>
      </w:r>
      <w:r w:rsidR="003C3354" w:rsidRPr="003C3354">
        <w:rPr>
          <w:szCs w:val="28"/>
          <w:lang w:val="ru-RU"/>
        </w:rPr>
        <w:t xml:space="preserve">  г.                г. Ипатово                                  №  ____</w:t>
      </w:r>
    </w:p>
    <w:p w:rsidR="003C3354" w:rsidRPr="00A01DFB" w:rsidRDefault="003C3354" w:rsidP="00C7175E">
      <w:pPr>
        <w:suppressAutoHyphens/>
        <w:rPr>
          <w:szCs w:val="28"/>
          <w:lang w:val="ru-RU"/>
        </w:rPr>
      </w:pPr>
    </w:p>
    <w:p w:rsidR="007C5C9A" w:rsidRPr="00A01DFB" w:rsidRDefault="007C5C9A" w:rsidP="00C7175E">
      <w:pPr>
        <w:suppressAutoHyphens/>
        <w:spacing w:line="240" w:lineRule="exact"/>
        <w:rPr>
          <w:szCs w:val="28"/>
          <w:lang w:val="ru-RU"/>
        </w:rPr>
      </w:pPr>
    </w:p>
    <w:p w:rsidR="00A751A9" w:rsidRDefault="00A751A9" w:rsidP="00C7175E">
      <w:pPr>
        <w:suppressAutoHyphens/>
        <w:spacing w:line="240" w:lineRule="exact"/>
        <w:rPr>
          <w:lang w:val="ru-RU"/>
        </w:rPr>
      </w:pPr>
    </w:p>
    <w:p w:rsidR="00A751A9" w:rsidRDefault="00A751A9" w:rsidP="00C7175E">
      <w:pPr>
        <w:suppressAutoHyphens/>
        <w:spacing w:line="240" w:lineRule="exact"/>
        <w:rPr>
          <w:lang w:val="ru-RU"/>
        </w:rPr>
      </w:pPr>
    </w:p>
    <w:p w:rsidR="007C5C9A" w:rsidRPr="00284D09" w:rsidRDefault="007C5C9A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О внесении изменений в муниципальную программу «</w:t>
      </w:r>
      <w:r w:rsidR="00C7175E">
        <w:rPr>
          <w:lang w:val="ru-RU"/>
        </w:rPr>
        <w:t>Межнациональные отношения, поддержка казачества, п</w:t>
      </w:r>
      <w:r>
        <w:rPr>
          <w:lang w:val="ru-RU"/>
        </w:rPr>
        <w:t>рофилактика правонарушений</w:t>
      </w:r>
      <w:r w:rsidR="00C7175E">
        <w:rPr>
          <w:lang w:val="ru-RU"/>
        </w:rPr>
        <w:t xml:space="preserve"> и</w:t>
      </w:r>
      <w:r>
        <w:rPr>
          <w:lang w:val="ru-RU"/>
        </w:rPr>
        <w:t xml:space="preserve"> террориз</w:t>
      </w:r>
      <w:r w:rsidR="00C7175E">
        <w:rPr>
          <w:lang w:val="ru-RU"/>
        </w:rPr>
        <w:t xml:space="preserve">ма </w:t>
      </w:r>
      <w:r>
        <w:rPr>
          <w:lang w:val="ru-RU"/>
        </w:rPr>
        <w:t>в Ипатовском городском округе Ставропольского края», утвержденную постановлением администрации Ипатовского городского округа Ставрополь</w:t>
      </w:r>
      <w:r w:rsidR="00C7175E">
        <w:rPr>
          <w:lang w:val="ru-RU"/>
        </w:rPr>
        <w:t>ского края от 16</w:t>
      </w:r>
      <w:r>
        <w:rPr>
          <w:lang w:val="ru-RU"/>
        </w:rPr>
        <w:t xml:space="preserve"> де</w:t>
      </w:r>
      <w:r w:rsidR="00C7175E">
        <w:rPr>
          <w:lang w:val="ru-RU"/>
        </w:rPr>
        <w:t>кабря 2020 г. № 1685</w:t>
      </w:r>
    </w:p>
    <w:p w:rsidR="007C5C9A" w:rsidRPr="00284D09" w:rsidRDefault="007C5C9A" w:rsidP="00C7175E">
      <w:pPr>
        <w:suppressAutoHyphens/>
        <w:rPr>
          <w:lang w:val="ru-RU"/>
        </w:rPr>
      </w:pPr>
      <w:r>
        <w:rPr>
          <w:lang w:val="ru-RU"/>
        </w:rPr>
        <w:tab/>
      </w:r>
    </w:p>
    <w:p w:rsidR="007C5C9A" w:rsidRPr="00C91F8F" w:rsidRDefault="000F1CA8" w:rsidP="00A751A9">
      <w:pPr>
        <w:suppressAutoHyphens/>
        <w:ind w:firstLine="709"/>
        <w:rPr>
          <w:szCs w:val="28"/>
          <w:lang w:val="ru-RU"/>
        </w:rPr>
      </w:pPr>
      <w:r w:rsidRPr="002E0321">
        <w:rPr>
          <w:szCs w:val="28"/>
          <w:lang w:val="ru-RU"/>
        </w:rPr>
        <w:t>В соответствии  с решени</w:t>
      </w:r>
      <w:r w:rsidR="00636FA6">
        <w:rPr>
          <w:szCs w:val="28"/>
          <w:lang w:val="ru-RU"/>
        </w:rPr>
        <w:t>я</w:t>
      </w:r>
      <w:r w:rsidR="007F0BED" w:rsidRPr="002E0321">
        <w:rPr>
          <w:szCs w:val="28"/>
          <w:lang w:val="ru-RU"/>
        </w:rPr>
        <w:t>м</w:t>
      </w:r>
      <w:r w:rsidR="00636FA6">
        <w:rPr>
          <w:szCs w:val="28"/>
          <w:lang w:val="ru-RU"/>
        </w:rPr>
        <w:t>и</w:t>
      </w:r>
      <w:r w:rsidRPr="002E0321">
        <w:rPr>
          <w:szCs w:val="28"/>
          <w:lang w:val="ru-RU"/>
        </w:rPr>
        <w:t xml:space="preserve"> Думы Ипатовского городского округа Ставропольского края от  </w:t>
      </w:r>
      <w:r w:rsidR="002E0321" w:rsidRPr="002E0321">
        <w:rPr>
          <w:szCs w:val="28"/>
          <w:lang w:val="ru-RU"/>
        </w:rPr>
        <w:t>13</w:t>
      </w:r>
      <w:r w:rsidRPr="002E0321">
        <w:rPr>
          <w:szCs w:val="28"/>
          <w:lang w:val="ru-RU"/>
        </w:rPr>
        <w:t xml:space="preserve"> </w:t>
      </w:r>
      <w:r w:rsidR="002E0321" w:rsidRPr="002E0321">
        <w:rPr>
          <w:szCs w:val="28"/>
          <w:lang w:val="ru-RU"/>
        </w:rPr>
        <w:t>декабря</w:t>
      </w:r>
      <w:r w:rsidRPr="002E0321">
        <w:rPr>
          <w:szCs w:val="28"/>
          <w:lang w:val="ru-RU"/>
        </w:rPr>
        <w:t xml:space="preserve"> 202</w:t>
      </w:r>
      <w:r w:rsidR="00E40077" w:rsidRPr="002E0321">
        <w:rPr>
          <w:szCs w:val="28"/>
          <w:lang w:val="ru-RU"/>
        </w:rPr>
        <w:t>2</w:t>
      </w:r>
      <w:r w:rsidRPr="002E0321">
        <w:rPr>
          <w:szCs w:val="28"/>
          <w:lang w:val="ru-RU"/>
        </w:rPr>
        <w:t xml:space="preserve"> г. № </w:t>
      </w:r>
      <w:r w:rsidR="002E0321" w:rsidRPr="002E0321">
        <w:rPr>
          <w:szCs w:val="28"/>
          <w:lang w:val="ru-RU"/>
        </w:rPr>
        <w:t>35</w:t>
      </w:r>
      <w:r w:rsidR="00A751A9">
        <w:rPr>
          <w:szCs w:val="28"/>
          <w:lang w:val="ru-RU"/>
        </w:rPr>
        <w:t xml:space="preserve"> </w:t>
      </w:r>
      <w:r w:rsidR="00A751A9" w:rsidRPr="002E0321">
        <w:rPr>
          <w:szCs w:val="28"/>
          <w:lang w:val="ru-RU"/>
        </w:rPr>
        <w:t xml:space="preserve">«О бюджете Ипатовского городского округа </w:t>
      </w:r>
      <w:r w:rsidR="00A751A9">
        <w:rPr>
          <w:color w:val="000000"/>
          <w:szCs w:val="28"/>
          <w:lang w:val="ru-RU"/>
        </w:rPr>
        <w:t>Ставропольского края на 2023 год и на плановый период 2024</w:t>
      </w:r>
      <w:r w:rsidR="00A751A9" w:rsidRPr="002E0321">
        <w:rPr>
          <w:color w:val="000000"/>
          <w:szCs w:val="28"/>
          <w:lang w:val="ru-RU"/>
        </w:rPr>
        <w:t xml:space="preserve"> и 202</w:t>
      </w:r>
      <w:r w:rsidR="00A751A9">
        <w:rPr>
          <w:color w:val="000000"/>
          <w:szCs w:val="28"/>
          <w:lang w:val="ru-RU"/>
        </w:rPr>
        <w:t>5</w:t>
      </w:r>
      <w:r w:rsidR="00A751A9" w:rsidRPr="002E0321">
        <w:rPr>
          <w:color w:val="000000"/>
          <w:szCs w:val="28"/>
          <w:lang w:val="ru-RU"/>
        </w:rPr>
        <w:t xml:space="preserve"> годов»</w:t>
      </w:r>
      <w:r w:rsidRPr="002E0321">
        <w:rPr>
          <w:color w:val="000000"/>
          <w:szCs w:val="28"/>
          <w:lang w:val="ru-RU"/>
        </w:rPr>
        <w:t>,</w:t>
      </w:r>
      <w:r w:rsidR="00A751A9">
        <w:rPr>
          <w:color w:val="000000"/>
          <w:szCs w:val="28"/>
          <w:lang w:val="ru-RU"/>
        </w:rPr>
        <w:t xml:space="preserve"> </w:t>
      </w:r>
      <w:r w:rsidR="002E0321" w:rsidRPr="002E0321">
        <w:rPr>
          <w:szCs w:val="28"/>
          <w:lang w:val="ru-RU"/>
        </w:rPr>
        <w:t>от  20 декабря 2022 г. № 42</w:t>
      </w:r>
      <w:r w:rsidR="00A751A9">
        <w:rPr>
          <w:szCs w:val="28"/>
          <w:lang w:val="ru-RU"/>
        </w:rPr>
        <w:t xml:space="preserve"> </w:t>
      </w:r>
      <w:r w:rsidR="00A751A9" w:rsidRPr="002E0321">
        <w:rPr>
          <w:szCs w:val="28"/>
          <w:lang w:val="ru-RU"/>
        </w:rPr>
        <w:t xml:space="preserve">«О внесении изменений в решение Думы Ипатовского городского округа Ставропольского края от 14 декабря 2021 г. № 182 «О бюджете Ипатовского городского округа </w:t>
      </w:r>
      <w:r w:rsidR="00A751A9" w:rsidRPr="002E0321">
        <w:rPr>
          <w:color w:val="000000"/>
          <w:szCs w:val="28"/>
          <w:lang w:val="ru-RU"/>
        </w:rPr>
        <w:t>Ставропольского края на 2022 год и на плановый период 2023 и 2024 годов»</w:t>
      </w:r>
      <w:r w:rsidR="002E0321" w:rsidRPr="002E0321">
        <w:rPr>
          <w:color w:val="000000"/>
          <w:szCs w:val="28"/>
          <w:lang w:val="ru-RU"/>
        </w:rPr>
        <w:t xml:space="preserve">, </w:t>
      </w:r>
      <w:r w:rsidRPr="002E0321">
        <w:rPr>
          <w:color w:val="000000"/>
          <w:szCs w:val="28"/>
          <w:lang w:val="ru-RU"/>
        </w:rPr>
        <w:t xml:space="preserve"> постановлени</w:t>
      </w:r>
      <w:r w:rsidR="00567F66" w:rsidRPr="002E0321">
        <w:rPr>
          <w:color w:val="000000"/>
          <w:szCs w:val="28"/>
          <w:lang w:val="ru-RU"/>
        </w:rPr>
        <w:t>ем</w:t>
      </w:r>
      <w:r w:rsidRPr="002E0321">
        <w:rPr>
          <w:color w:val="000000"/>
          <w:szCs w:val="28"/>
          <w:lang w:val="ru-RU"/>
        </w:rPr>
        <w:t xml:space="preserve"> администрации Ипатовского городского</w:t>
      </w:r>
      <w:r w:rsidRPr="002E0321">
        <w:rPr>
          <w:szCs w:val="28"/>
          <w:lang w:val="ru-RU"/>
        </w:rPr>
        <w:t xml:space="preserve"> округа Ставропольского края от 26 декабря 2017 г. № 5 «Об утверждении Порядка разработки, реализации и оценки эффективности муниципальных</w:t>
      </w:r>
      <w:r w:rsidRPr="00E14638">
        <w:rPr>
          <w:szCs w:val="28"/>
          <w:lang w:val="ru-RU"/>
        </w:rPr>
        <w:t xml:space="preserve"> программ Ипатовского городского округа Ставропольского края»</w:t>
      </w:r>
      <w:r>
        <w:rPr>
          <w:szCs w:val="28"/>
          <w:lang w:val="ru-RU"/>
        </w:rPr>
        <w:t xml:space="preserve">, </w:t>
      </w:r>
      <w:r w:rsidR="007C5C9A">
        <w:rPr>
          <w:lang w:val="ru-RU"/>
        </w:rPr>
        <w:t xml:space="preserve">администрация Ипатовского </w:t>
      </w:r>
      <w:r w:rsidR="004D0257">
        <w:rPr>
          <w:lang w:val="ru-RU"/>
        </w:rPr>
        <w:t>муниципального</w:t>
      </w:r>
      <w:r w:rsidR="007C5C9A">
        <w:rPr>
          <w:lang w:val="ru-RU"/>
        </w:rPr>
        <w:t xml:space="preserve"> округа Ставропольского края</w:t>
      </w:r>
      <w:r w:rsidR="00937828">
        <w:rPr>
          <w:lang w:val="ru-RU"/>
        </w:rPr>
        <w:t>.</w:t>
      </w:r>
    </w:p>
    <w:p w:rsidR="007C5C9A" w:rsidRPr="00567F66" w:rsidRDefault="007C5C9A" w:rsidP="006E43C0">
      <w:pPr>
        <w:suppressAutoHyphens/>
        <w:ind w:firstLine="708"/>
        <w:rPr>
          <w:lang w:val="ru-RU"/>
        </w:rPr>
      </w:pPr>
    </w:p>
    <w:p w:rsidR="007C5C9A" w:rsidRDefault="007C5C9A" w:rsidP="006E43C0">
      <w:pPr>
        <w:suppressAutoHyphens/>
        <w:ind w:firstLine="708"/>
        <w:rPr>
          <w:lang w:val="ru-RU"/>
        </w:rPr>
      </w:pPr>
      <w:r>
        <w:rPr>
          <w:lang w:val="ru-RU"/>
        </w:rPr>
        <w:t>ПОСТАНОВЛЯЕТ:</w:t>
      </w:r>
    </w:p>
    <w:p w:rsidR="00A01DFB" w:rsidRPr="00284D09" w:rsidRDefault="00A01DFB" w:rsidP="006E43C0">
      <w:pPr>
        <w:suppressAutoHyphens/>
        <w:ind w:firstLine="708"/>
        <w:rPr>
          <w:lang w:val="ru-RU"/>
        </w:rPr>
      </w:pPr>
    </w:p>
    <w:p w:rsidR="006E43C0" w:rsidRPr="00F36B9D" w:rsidRDefault="007C5C9A" w:rsidP="00F36B9D">
      <w:pPr>
        <w:suppressAutoHyphens/>
        <w:ind w:firstLine="708"/>
        <w:rPr>
          <w:color w:val="FF0000"/>
          <w:lang w:val="ru-RU"/>
        </w:rPr>
      </w:pPr>
      <w:r>
        <w:rPr>
          <w:lang w:val="ru-RU"/>
        </w:rPr>
        <w:t>1.</w:t>
      </w:r>
      <w:r w:rsidRPr="00F104E5">
        <w:rPr>
          <w:lang w:val="ru-RU"/>
        </w:rPr>
        <w:t xml:space="preserve"> </w:t>
      </w:r>
      <w:r>
        <w:rPr>
          <w:lang w:val="ru-RU"/>
        </w:rPr>
        <w:t>У</w:t>
      </w:r>
      <w:r w:rsidR="00CC58CF">
        <w:rPr>
          <w:lang w:val="ru-RU"/>
        </w:rPr>
        <w:t xml:space="preserve">твердить прилагаемые изменения, </w:t>
      </w:r>
      <w:r>
        <w:rPr>
          <w:lang w:val="ru-RU"/>
        </w:rPr>
        <w:t xml:space="preserve">которые вносятся в </w:t>
      </w:r>
      <w:r w:rsidR="00F104E5">
        <w:rPr>
          <w:lang w:val="ru-RU"/>
        </w:rPr>
        <w:t>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</w:t>
      </w:r>
      <w:r w:rsidR="00E95FB2">
        <w:rPr>
          <w:lang w:val="ru-RU"/>
        </w:rPr>
        <w:t xml:space="preserve"> «Об утверждении муниципальной программы «Межнациональные отношения, поддержка казачества, профилактика правонарушений и терроризма в Ипатовском городском округе Ставропольского края»</w:t>
      </w:r>
      <w:r w:rsidR="00103EEA">
        <w:rPr>
          <w:lang w:val="ru-RU"/>
        </w:rPr>
        <w:t xml:space="preserve"> (с изменениями, </w:t>
      </w:r>
      <w:r w:rsidR="00F53E92">
        <w:rPr>
          <w:lang w:val="ru-RU"/>
        </w:rPr>
        <w:t>внесенными</w:t>
      </w:r>
      <w:r w:rsidR="00103EEA">
        <w:rPr>
          <w:lang w:val="ru-RU"/>
        </w:rPr>
        <w:t xml:space="preserve"> постановлени</w:t>
      </w:r>
      <w:r w:rsidR="007B2ED5">
        <w:rPr>
          <w:lang w:val="ru-RU"/>
        </w:rPr>
        <w:t>ями</w:t>
      </w:r>
      <w:r w:rsidR="00103EEA">
        <w:rPr>
          <w:lang w:val="ru-RU"/>
        </w:rPr>
        <w:t xml:space="preserve"> администрации Ипатовского городского округа Ставропольского края </w:t>
      </w:r>
      <w:r w:rsidR="00FF582A" w:rsidRPr="00FF582A">
        <w:rPr>
          <w:bCs/>
          <w:szCs w:val="28"/>
          <w:lang w:val="ru-RU"/>
        </w:rPr>
        <w:t>от 05 августа 2021 г. № 1094, от 25 ноября 2021 г. № 1812, от 30 декабря 2021 г. № 2025</w:t>
      </w:r>
      <w:r w:rsidR="004A34A9">
        <w:rPr>
          <w:bCs/>
          <w:szCs w:val="28"/>
          <w:lang w:val="ru-RU"/>
        </w:rPr>
        <w:t>, от 18 июля 2022 г. № 1035</w:t>
      </w:r>
      <w:r w:rsidR="00F51086">
        <w:rPr>
          <w:bCs/>
          <w:szCs w:val="28"/>
          <w:lang w:val="ru-RU"/>
        </w:rPr>
        <w:t>, от 31 октября 2022 г. № 1703</w:t>
      </w:r>
      <w:r w:rsidR="004E1FB8">
        <w:rPr>
          <w:bCs/>
          <w:szCs w:val="28"/>
          <w:lang w:val="ru-RU"/>
        </w:rPr>
        <w:t>, от 28 декабря 2022 г.</w:t>
      </w:r>
      <w:r w:rsidR="00103EEA" w:rsidRPr="00FF582A">
        <w:rPr>
          <w:lang w:val="ru-RU"/>
        </w:rPr>
        <w:t>)</w:t>
      </w:r>
      <w:r w:rsidR="00F104E5" w:rsidRPr="00FF582A">
        <w:rPr>
          <w:lang w:val="ru-RU"/>
        </w:rPr>
        <w:t>.</w:t>
      </w:r>
    </w:p>
    <w:p w:rsidR="006E43C0" w:rsidRPr="006E43C0" w:rsidRDefault="006E43C0" w:rsidP="006E43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1F8B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 </w:t>
      </w:r>
    </w:p>
    <w:p w:rsidR="00F104E5" w:rsidRPr="00284D09" w:rsidRDefault="00F104E5" w:rsidP="006E43C0">
      <w:pPr>
        <w:suppressAutoHyphens/>
        <w:ind w:firstLine="708"/>
        <w:rPr>
          <w:lang w:val="ru-RU"/>
        </w:rPr>
      </w:pPr>
    </w:p>
    <w:p w:rsidR="00937828" w:rsidRPr="00937828" w:rsidRDefault="006E43C0" w:rsidP="00937828">
      <w:pPr>
        <w:ind w:firstLine="709"/>
        <w:rPr>
          <w:szCs w:val="28"/>
          <w:lang w:val="ru-RU"/>
        </w:rPr>
      </w:pPr>
      <w:r>
        <w:rPr>
          <w:lang w:val="ru-RU"/>
        </w:rPr>
        <w:lastRenderedPageBreak/>
        <w:t>3</w:t>
      </w:r>
      <w:r w:rsidR="007C5C9A" w:rsidRPr="00F104E5">
        <w:rPr>
          <w:lang w:val="ru-RU"/>
        </w:rPr>
        <w:t xml:space="preserve">. </w:t>
      </w:r>
      <w:r w:rsidR="00937828" w:rsidRPr="00937828">
        <w:rPr>
          <w:szCs w:val="28"/>
          <w:lang w:val="ru-RU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F104E5" w:rsidRPr="00937828" w:rsidRDefault="006E43C0" w:rsidP="00937828">
      <w:pPr>
        <w:ind w:firstLine="709"/>
        <w:rPr>
          <w:szCs w:val="28"/>
          <w:lang w:val="ru-RU"/>
        </w:rPr>
      </w:pPr>
      <w:r w:rsidRPr="00937828">
        <w:rPr>
          <w:rFonts w:eastAsia="Nimbus Roman No9 L"/>
          <w:szCs w:val="28"/>
          <w:lang w:val="ru-RU"/>
        </w:rPr>
        <w:t>4</w:t>
      </w:r>
      <w:r w:rsidR="007C5C9A" w:rsidRPr="00937828">
        <w:rPr>
          <w:szCs w:val="28"/>
          <w:lang w:val="ru-RU"/>
        </w:rPr>
        <w:t>.</w:t>
      </w:r>
      <w:r w:rsidR="002277FD" w:rsidRPr="00937828">
        <w:rPr>
          <w:szCs w:val="28"/>
          <w:lang w:val="ru-RU"/>
        </w:rPr>
        <w:t xml:space="preserve"> </w:t>
      </w:r>
      <w:r w:rsidR="007C5C9A" w:rsidRPr="00937828">
        <w:rPr>
          <w:szCs w:val="28"/>
          <w:lang w:val="ru-RU"/>
        </w:rPr>
        <w:t xml:space="preserve"> </w:t>
      </w:r>
      <w:r w:rsidR="00937828" w:rsidRPr="00937828">
        <w:rPr>
          <w:szCs w:val="28"/>
          <w:lang w:val="ru-RU"/>
        </w:rPr>
        <w:t xml:space="preserve">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 w:rsidR="00937828" w:rsidRPr="00937828">
        <w:rPr>
          <w:szCs w:val="28"/>
          <w:lang w:val="ru-RU"/>
        </w:rPr>
        <w:t>Г.Н.Братчик</w:t>
      </w:r>
      <w:proofErr w:type="spellEnd"/>
      <w:r w:rsidR="00804184" w:rsidRPr="00937828">
        <w:rPr>
          <w:szCs w:val="28"/>
          <w:lang w:val="ru-RU"/>
        </w:rPr>
        <w:t>, заместителя главы администрации – начальник</w:t>
      </w:r>
      <w:r w:rsidR="00F86E47" w:rsidRPr="00937828">
        <w:rPr>
          <w:szCs w:val="28"/>
          <w:lang w:val="ru-RU"/>
        </w:rPr>
        <w:t>а</w:t>
      </w:r>
      <w:r w:rsidR="00F53E92" w:rsidRPr="00937828">
        <w:rPr>
          <w:szCs w:val="28"/>
          <w:lang w:val="ru-RU"/>
        </w:rPr>
        <w:t xml:space="preserve"> отдела сельского хозяйства,</w:t>
      </w:r>
      <w:r w:rsidR="00804184" w:rsidRPr="00937828">
        <w:rPr>
          <w:szCs w:val="28"/>
          <w:lang w:val="ru-RU"/>
        </w:rPr>
        <w:t xml:space="preserve"> охраны окружающей среды, гражданской обороны, чрезвычайных ситуаций и антитеррора администрации Ипатовского </w:t>
      </w:r>
      <w:r w:rsidR="00937828">
        <w:rPr>
          <w:szCs w:val="28"/>
          <w:lang w:val="ru-RU"/>
        </w:rPr>
        <w:t>муниципального</w:t>
      </w:r>
      <w:r w:rsidR="00804184" w:rsidRPr="00937828">
        <w:rPr>
          <w:szCs w:val="28"/>
          <w:lang w:val="ru-RU"/>
        </w:rPr>
        <w:t xml:space="preserve"> округа Ставропольского края Н.С. Головинова</w:t>
      </w:r>
      <w:r w:rsidR="007C5C9A" w:rsidRPr="00937828">
        <w:rPr>
          <w:szCs w:val="28"/>
          <w:lang w:val="ru-RU"/>
        </w:rPr>
        <w:t>.</w:t>
      </w:r>
    </w:p>
    <w:p w:rsidR="007C5C9A" w:rsidRPr="00937828" w:rsidRDefault="006E43C0" w:rsidP="00937828">
      <w:pPr>
        <w:tabs>
          <w:tab w:val="left" w:pos="0"/>
        </w:tabs>
        <w:suppressAutoHyphens/>
        <w:ind w:firstLine="708"/>
        <w:rPr>
          <w:lang w:val="ru-RU"/>
        </w:rPr>
      </w:pPr>
      <w:r w:rsidRPr="00937828">
        <w:rPr>
          <w:szCs w:val="28"/>
          <w:lang w:val="ru-RU"/>
        </w:rPr>
        <w:t>5</w:t>
      </w:r>
      <w:r w:rsidR="007C5C9A" w:rsidRPr="00937828">
        <w:rPr>
          <w:szCs w:val="28"/>
          <w:lang w:val="ru-RU"/>
        </w:rPr>
        <w:t xml:space="preserve">. Настоящее постановление вступает в силу </w:t>
      </w:r>
      <w:r w:rsidR="00C233B1" w:rsidRPr="00937828">
        <w:rPr>
          <w:szCs w:val="28"/>
          <w:lang w:val="ru-RU"/>
        </w:rPr>
        <w:t>на следующий день после</w:t>
      </w:r>
      <w:r w:rsidR="004D3463" w:rsidRPr="00937828">
        <w:rPr>
          <w:szCs w:val="28"/>
          <w:lang w:val="ru-RU"/>
        </w:rPr>
        <w:t xml:space="preserve"> </w:t>
      </w:r>
      <w:r w:rsidR="00F53E92" w:rsidRPr="00937828">
        <w:rPr>
          <w:szCs w:val="28"/>
          <w:lang w:val="ru-RU"/>
        </w:rPr>
        <w:t xml:space="preserve">дня </w:t>
      </w:r>
      <w:r w:rsidR="004D3463" w:rsidRPr="00937828">
        <w:rPr>
          <w:szCs w:val="28"/>
          <w:lang w:val="ru-RU"/>
        </w:rPr>
        <w:t xml:space="preserve">его </w:t>
      </w:r>
      <w:r w:rsidR="00C233B1" w:rsidRPr="00937828">
        <w:rPr>
          <w:szCs w:val="28"/>
          <w:lang w:val="ru-RU"/>
        </w:rPr>
        <w:t xml:space="preserve">официального </w:t>
      </w:r>
      <w:r w:rsidRPr="00937828">
        <w:rPr>
          <w:szCs w:val="28"/>
          <w:lang w:val="ru-RU"/>
        </w:rPr>
        <w:t>обнародования</w:t>
      </w:r>
      <w:r w:rsidR="004D3463" w:rsidRPr="00937828">
        <w:rPr>
          <w:szCs w:val="28"/>
          <w:lang w:val="ru-RU"/>
        </w:rPr>
        <w:t>.</w:t>
      </w:r>
    </w:p>
    <w:p w:rsidR="007C5C9A" w:rsidRDefault="007C5C9A" w:rsidP="00C7175E">
      <w:pPr>
        <w:suppressAutoHyphens/>
        <w:spacing w:line="200" w:lineRule="exact"/>
        <w:rPr>
          <w:rFonts w:ascii="Nimbus Roman No9 L" w:hAnsi="Nimbus Roman No9 L" w:cs="Nimbus Roman No9 L"/>
          <w:szCs w:val="28"/>
          <w:lang w:val="ru-RU"/>
        </w:rPr>
      </w:pPr>
    </w:p>
    <w:p w:rsidR="00A01DFB" w:rsidRDefault="00A01DFB" w:rsidP="00C7175E">
      <w:pPr>
        <w:suppressAutoHyphens/>
        <w:spacing w:line="200" w:lineRule="exact"/>
        <w:rPr>
          <w:rFonts w:ascii="Nimbus Roman No9 L" w:hAnsi="Nimbus Roman No9 L" w:cs="Nimbus Roman No9 L"/>
          <w:szCs w:val="28"/>
          <w:lang w:val="ru-RU"/>
        </w:rPr>
      </w:pPr>
    </w:p>
    <w:p w:rsidR="00937828" w:rsidRPr="00937828" w:rsidRDefault="00937828" w:rsidP="00937828">
      <w:pPr>
        <w:spacing w:line="240" w:lineRule="exact"/>
        <w:rPr>
          <w:color w:val="000000"/>
          <w:szCs w:val="28"/>
          <w:lang w:val="ru-RU"/>
        </w:rPr>
      </w:pPr>
      <w:r w:rsidRPr="00937828">
        <w:rPr>
          <w:color w:val="000000"/>
          <w:szCs w:val="28"/>
          <w:lang w:val="ru-RU"/>
        </w:rPr>
        <w:t xml:space="preserve">Глава Ипатовского </w:t>
      </w:r>
    </w:p>
    <w:p w:rsidR="00937828" w:rsidRPr="00937828" w:rsidRDefault="00937828" w:rsidP="00937828">
      <w:pPr>
        <w:spacing w:line="240" w:lineRule="exact"/>
        <w:rPr>
          <w:color w:val="000000"/>
          <w:szCs w:val="28"/>
          <w:lang w:val="ru-RU"/>
        </w:rPr>
      </w:pPr>
      <w:r w:rsidRPr="00937828">
        <w:rPr>
          <w:color w:val="000000"/>
          <w:szCs w:val="28"/>
          <w:lang w:val="ru-RU"/>
        </w:rPr>
        <w:t xml:space="preserve">муниципального округа </w:t>
      </w:r>
    </w:p>
    <w:p w:rsidR="00937828" w:rsidRDefault="00937828" w:rsidP="00937828">
      <w:pPr>
        <w:spacing w:line="240" w:lineRule="exact"/>
        <w:rPr>
          <w:color w:val="000000"/>
          <w:szCs w:val="28"/>
          <w:lang w:val="ru-RU"/>
        </w:rPr>
      </w:pPr>
      <w:r w:rsidRPr="00937828">
        <w:rPr>
          <w:color w:val="000000"/>
          <w:szCs w:val="28"/>
          <w:lang w:val="ru-RU"/>
        </w:rPr>
        <w:t>Ставропольского края</w:t>
      </w:r>
      <w:r w:rsidRPr="00937828">
        <w:rPr>
          <w:color w:val="000000"/>
          <w:szCs w:val="28"/>
          <w:lang w:val="ru-RU"/>
        </w:rPr>
        <w:tab/>
      </w:r>
      <w:r w:rsidRPr="00937828">
        <w:rPr>
          <w:color w:val="000000"/>
          <w:szCs w:val="28"/>
          <w:lang w:val="ru-RU"/>
        </w:rPr>
        <w:tab/>
      </w:r>
      <w:r w:rsidRPr="00937828">
        <w:rPr>
          <w:color w:val="000000"/>
          <w:szCs w:val="28"/>
          <w:lang w:val="ru-RU"/>
        </w:rPr>
        <w:tab/>
      </w:r>
      <w:r w:rsidRPr="00937828">
        <w:rPr>
          <w:color w:val="000000"/>
          <w:szCs w:val="28"/>
          <w:lang w:val="ru-RU"/>
        </w:rPr>
        <w:tab/>
      </w:r>
      <w:r w:rsidRPr="00937828">
        <w:rPr>
          <w:color w:val="000000"/>
          <w:szCs w:val="28"/>
          <w:lang w:val="ru-RU"/>
        </w:rPr>
        <w:tab/>
      </w:r>
      <w:r w:rsidRPr="00937828">
        <w:rPr>
          <w:color w:val="000000"/>
          <w:szCs w:val="28"/>
          <w:lang w:val="ru-RU"/>
        </w:rPr>
        <w:tab/>
      </w:r>
      <w:r w:rsidRPr="00937828">
        <w:rPr>
          <w:color w:val="000000"/>
          <w:szCs w:val="28"/>
          <w:lang w:val="ru-RU"/>
        </w:rPr>
        <w:tab/>
        <w:t xml:space="preserve">    </w:t>
      </w:r>
      <w:proofErr w:type="spellStart"/>
      <w:r w:rsidRPr="00937828">
        <w:rPr>
          <w:color w:val="000000"/>
          <w:szCs w:val="28"/>
          <w:lang w:val="ru-RU"/>
        </w:rPr>
        <w:t>В.Н.Шейкина</w:t>
      </w:r>
      <w:proofErr w:type="spellEnd"/>
    </w:p>
    <w:p w:rsidR="004B7576" w:rsidRDefault="004B7576" w:rsidP="00937828">
      <w:pPr>
        <w:spacing w:line="240" w:lineRule="exact"/>
        <w:rPr>
          <w:color w:val="000000"/>
          <w:szCs w:val="28"/>
          <w:lang w:val="ru-RU"/>
        </w:rPr>
      </w:pPr>
    </w:p>
    <w:p w:rsidR="004B7576" w:rsidRDefault="004B7576" w:rsidP="00937828">
      <w:pPr>
        <w:spacing w:line="240" w:lineRule="exact"/>
        <w:rPr>
          <w:color w:val="000000"/>
          <w:szCs w:val="28"/>
          <w:lang w:val="ru-RU"/>
        </w:rPr>
      </w:pPr>
    </w:p>
    <w:tbl>
      <w:tblPr>
        <w:tblW w:w="10027" w:type="dxa"/>
        <w:tblLook w:val="04A0" w:firstRow="1" w:lastRow="0" w:firstColumn="1" w:lastColumn="0" w:noHBand="0" w:noVBand="1"/>
      </w:tblPr>
      <w:tblGrid>
        <w:gridCol w:w="5414"/>
        <w:gridCol w:w="4613"/>
      </w:tblGrid>
      <w:tr w:rsidR="004B7576" w:rsidRPr="0087574B" w:rsidTr="00076193">
        <w:trPr>
          <w:trHeight w:val="1559"/>
        </w:trPr>
        <w:tc>
          <w:tcPr>
            <w:tcW w:w="5414" w:type="dxa"/>
            <w:shd w:val="clear" w:color="auto" w:fill="auto"/>
          </w:tcPr>
          <w:p w:rsidR="004B7576" w:rsidRPr="0087574B" w:rsidRDefault="004B7576" w:rsidP="00076193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4B7576" w:rsidRPr="004B7576" w:rsidRDefault="004B7576" w:rsidP="00076193">
            <w:pPr>
              <w:spacing w:line="240" w:lineRule="exact"/>
              <w:ind w:left="-108"/>
              <w:jc w:val="left"/>
              <w:rPr>
                <w:szCs w:val="28"/>
                <w:lang w:val="ru-RU"/>
              </w:rPr>
            </w:pPr>
            <w:r w:rsidRPr="004B7576">
              <w:rPr>
                <w:szCs w:val="28"/>
                <w:lang w:val="ru-RU"/>
              </w:rPr>
              <w:t xml:space="preserve">            УТВЕРЖДЕНЫ</w:t>
            </w:r>
          </w:p>
          <w:p w:rsidR="004B7576" w:rsidRPr="004B7576" w:rsidRDefault="004B7576" w:rsidP="00076193">
            <w:pPr>
              <w:spacing w:line="240" w:lineRule="exact"/>
              <w:ind w:left="-108"/>
              <w:jc w:val="left"/>
              <w:rPr>
                <w:lang w:val="ru-RU"/>
              </w:rPr>
            </w:pPr>
          </w:p>
          <w:p w:rsidR="004B7576" w:rsidRPr="004B7576" w:rsidRDefault="004B7576" w:rsidP="00076193">
            <w:pPr>
              <w:spacing w:line="240" w:lineRule="exact"/>
              <w:rPr>
                <w:szCs w:val="28"/>
                <w:lang w:val="ru-RU"/>
              </w:rPr>
            </w:pPr>
            <w:r w:rsidRPr="004B7576">
              <w:rPr>
                <w:szCs w:val="28"/>
                <w:lang w:val="ru-RU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4B7576" w:rsidRPr="0087574B" w:rsidRDefault="004B7576" w:rsidP="00076193">
            <w:pPr>
              <w:spacing w:line="240" w:lineRule="exact"/>
              <w:rPr>
                <w:szCs w:val="28"/>
              </w:rPr>
            </w:pPr>
            <w:proofErr w:type="spellStart"/>
            <w:r w:rsidRPr="0087574B">
              <w:rPr>
                <w:szCs w:val="28"/>
              </w:rPr>
              <w:t>от</w:t>
            </w:r>
            <w:proofErr w:type="spellEnd"/>
            <w:r w:rsidRPr="0087574B">
              <w:rPr>
                <w:szCs w:val="28"/>
              </w:rPr>
              <w:t xml:space="preserve"> № </w:t>
            </w:r>
          </w:p>
          <w:p w:rsidR="004B7576" w:rsidRPr="0087574B" w:rsidRDefault="004B7576" w:rsidP="00076193">
            <w:pPr>
              <w:spacing w:line="240" w:lineRule="exact"/>
              <w:jc w:val="left"/>
            </w:pPr>
          </w:p>
        </w:tc>
      </w:tr>
    </w:tbl>
    <w:p w:rsidR="004B7576" w:rsidRPr="0087574B" w:rsidRDefault="004B7576" w:rsidP="004B7576">
      <w:pPr>
        <w:jc w:val="center"/>
        <w:rPr>
          <w:szCs w:val="28"/>
        </w:rPr>
      </w:pPr>
      <w:r w:rsidRPr="0087574B">
        <w:rPr>
          <w:szCs w:val="28"/>
        </w:rPr>
        <w:t>ИЗМЕНЕНИЯ,</w:t>
      </w:r>
    </w:p>
    <w:p w:rsidR="004B7576" w:rsidRPr="004B7576" w:rsidRDefault="004B7576" w:rsidP="004B7576">
      <w:pPr>
        <w:rPr>
          <w:b/>
          <w:szCs w:val="28"/>
          <w:lang w:val="ru-RU"/>
        </w:rPr>
      </w:pPr>
      <w:r w:rsidRPr="004B7576">
        <w:rPr>
          <w:szCs w:val="28"/>
          <w:lang w:val="ru-RU"/>
        </w:rPr>
        <w:t>которые вносятся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</w:t>
      </w:r>
    </w:p>
    <w:p w:rsidR="004B7576" w:rsidRPr="0087574B" w:rsidRDefault="004B7576" w:rsidP="004B75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574B">
        <w:rPr>
          <w:rFonts w:ascii="Times New Roman" w:hAnsi="Times New Roman" w:cs="Times New Roman"/>
          <w:sz w:val="28"/>
          <w:szCs w:val="28"/>
        </w:rPr>
        <w:t>1.Позицию «Объемы и источники финансового обеспечения Программы» паспорта муниципальной программы «Межнациональные отношения, поддержка казачества, профилактика правонарушений и терроризма в Ипатовском городском округе Ставропольского края» (далее – Программа) изложить в следующей редакции: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4B7576" w:rsidRPr="004B7576" w:rsidTr="00076193">
        <w:tc>
          <w:tcPr>
            <w:tcW w:w="3261" w:type="dxa"/>
            <w:shd w:val="clear" w:color="auto" w:fill="auto"/>
          </w:tcPr>
          <w:p w:rsidR="004B7576" w:rsidRPr="0087574B" w:rsidRDefault="004B7576" w:rsidP="000761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74B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</w:t>
            </w:r>
          </w:p>
          <w:p w:rsidR="004B7576" w:rsidRPr="0087574B" w:rsidRDefault="004B7576" w:rsidP="00076193">
            <w:pPr>
              <w:pStyle w:val="ConsPlusNormal"/>
              <w:widowControl/>
              <w:jc w:val="both"/>
            </w:pPr>
            <w:r w:rsidRPr="0087574B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 Программы</w:t>
            </w:r>
          </w:p>
        </w:tc>
        <w:tc>
          <w:tcPr>
            <w:tcW w:w="6237" w:type="dxa"/>
            <w:shd w:val="clear" w:color="auto" w:fill="auto"/>
          </w:tcPr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объем финансового обеспечения Программы составит </w:t>
            </w:r>
            <w:r w:rsidRPr="004B7576">
              <w:rPr>
                <w:lang w:val="ru-RU"/>
              </w:rPr>
              <w:t>38382,00</w:t>
            </w:r>
            <w:r w:rsidRPr="004B7576">
              <w:rPr>
                <w:bCs/>
                <w:lang w:val="ru-RU"/>
              </w:rPr>
              <w:t>тыс. рублей, в том числе по источникам финансового обеспечения: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бюджет Ипатовского городского округа Ставропольского края – </w:t>
            </w:r>
            <w:r w:rsidRPr="004B7576">
              <w:rPr>
                <w:lang w:val="ru-RU"/>
              </w:rPr>
              <w:t>31304,72</w:t>
            </w:r>
            <w:r w:rsidRPr="004B7576">
              <w:rPr>
                <w:bCs/>
                <w:lang w:val="ru-RU"/>
              </w:rPr>
              <w:t>тыс. рублей, в том числе по годам: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в 2021 году – </w:t>
            </w:r>
            <w:r w:rsidRPr="004B7576">
              <w:rPr>
                <w:lang w:val="ru-RU"/>
              </w:rPr>
              <w:t xml:space="preserve">4957,17 </w:t>
            </w:r>
            <w:r w:rsidRPr="004B7576">
              <w:rPr>
                <w:bCs/>
                <w:lang w:val="ru-RU"/>
              </w:rPr>
              <w:t>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в 2022 году – </w:t>
            </w:r>
            <w:r w:rsidRPr="004B7576">
              <w:rPr>
                <w:bCs/>
                <w:szCs w:val="28"/>
                <w:lang w:val="ru-RU"/>
              </w:rPr>
              <w:t>7032,72</w:t>
            </w:r>
            <w:r w:rsidRPr="004B7576">
              <w:rPr>
                <w:bCs/>
                <w:lang w:val="ru-RU"/>
              </w:rPr>
              <w:t xml:space="preserve"> тыс. рублей; 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2023 году – 8</w:t>
            </w:r>
            <w:r w:rsidRPr="0087574B">
              <w:rPr>
                <w:bCs/>
              </w:rPr>
              <w:t> </w:t>
            </w:r>
            <w:r w:rsidRPr="004B7576">
              <w:rPr>
                <w:bCs/>
                <w:lang w:val="ru-RU"/>
              </w:rPr>
              <w:t>405,95тыс.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lastRenderedPageBreak/>
              <w:t xml:space="preserve">в 2024 году – </w:t>
            </w:r>
            <w:r w:rsidRPr="004B7576">
              <w:rPr>
                <w:lang w:val="ru-RU"/>
              </w:rPr>
              <w:t>3741,16</w:t>
            </w:r>
            <w:r w:rsidRPr="004B7576">
              <w:rPr>
                <w:bCs/>
                <w:lang w:val="ru-RU"/>
              </w:rPr>
              <w:t>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в 2025 году – </w:t>
            </w:r>
            <w:r w:rsidRPr="004B7576">
              <w:rPr>
                <w:lang w:val="ru-RU"/>
              </w:rPr>
              <w:t xml:space="preserve">3741,16 </w:t>
            </w:r>
            <w:r w:rsidRPr="004B7576">
              <w:rPr>
                <w:bCs/>
                <w:lang w:val="ru-RU"/>
              </w:rPr>
              <w:t>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в 2026 году – </w:t>
            </w:r>
            <w:r w:rsidRPr="004B7576">
              <w:rPr>
                <w:lang w:val="ru-RU"/>
              </w:rPr>
              <w:t xml:space="preserve">3741,16 </w:t>
            </w:r>
            <w:r w:rsidRPr="004B7576">
              <w:rPr>
                <w:bCs/>
                <w:lang w:val="ru-RU"/>
              </w:rPr>
              <w:t>тыс. рублей.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за счет средств бюджета Ставропольского края – </w:t>
            </w:r>
            <w:r w:rsidRPr="004B7576">
              <w:rPr>
                <w:lang w:val="ru-RU"/>
              </w:rPr>
              <w:t>7077,28</w:t>
            </w:r>
            <w:r w:rsidRPr="004B7576">
              <w:rPr>
                <w:bCs/>
                <w:lang w:val="ru-RU"/>
              </w:rPr>
              <w:t>тыс. рублей, в том числе по годам: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в 2021 году – </w:t>
            </w:r>
            <w:r w:rsidRPr="004B7576">
              <w:rPr>
                <w:lang w:val="ru-RU"/>
              </w:rPr>
              <w:t xml:space="preserve">3413,64 </w:t>
            </w:r>
            <w:r w:rsidRPr="004B7576">
              <w:rPr>
                <w:bCs/>
                <w:lang w:val="ru-RU"/>
              </w:rPr>
              <w:t>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в 2022 году – 3263,64 тыс. рублей; 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2023 году – 100,00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2024 году – 100,00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2025 году – 100,00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2026 году – 100,00 тыс. рублей.».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</w:p>
        </w:tc>
      </w:tr>
    </w:tbl>
    <w:p w:rsidR="004B7576" w:rsidRPr="0087574B" w:rsidRDefault="004B7576" w:rsidP="004B7576">
      <w:pPr>
        <w:pStyle w:val="af8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74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Позицию «Объемы и источники финансового обеспечения подпрограммы» паспорта </w:t>
      </w:r>
      <w:proofErr w:type="spellStart"/>
      <w:proofErr w:type="gramStart"/>
      <w:r w:rsidRPr="0087574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  <w:r w:rsidRPr="0087574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proofErr w:type="gramEnd"/>
      <w:r w:rsidRPr="0087574B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Профилактика</w:t>
      </w:r>
      <w:proofErr w:type="spellEnd"/>
      <w:r w:rsidRPr="008757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правонарушений, незаконного потребления и оборота наркотических средств и психотропных веществ в Ипатовском городском округе Ставропольского </w:t>
      </w:r>
      <w:proofErr w:type="spellStart"/>
      <w:r w:rsidRPr="0087574B">
        <w:rPr>
          <w:rFonts w:ascii="Times New Roman" w:hAnsi="Times New Roman" w:cs="Times New Roman"/>
          <w:bCs/>
          <w:color w:val="auto"/>
          <w:sz w:val="28"/>
          <w:szCs w:val="28"/>
        </w:rPr>
        <w:t>края»</w:t>
      </w:r>
      <w:r w:rsidRPr="0087574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proofErr w:type="spellEnd"/>
      <w:r w:rsidRPr="0087574B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«Межнациональные отношения, поддержка казачества, профилактика правонарушений и терроризма в Ипатовском городском округе Ставропольского </w:t>
      </w:r>
      <w:proofErr w:type="spellStart"/>
      <w:r w:rsidRPr="0087574B">
        <w:rPr>
          <w:rFonts w:ascii="Times New Roman" w:hAnsi="Times New Roman" w:cs="Times New Roman"/>
          <w:color w:val="auto"/>
          <w:sz w:val="28"/>
          <w:szCs w:val="28"/>
        </w:rPr>
        <w:t>края»приложения</w:t>
      </w:r>
      <w:proofErr w:type="spellEnd"/>
      <w:r w:rsidRPr="0087574B">
        <w:rPr>
          <w:rFonts w:ascii="Times New Roman" w:hAnsi="Times New Roman" w:cs="Times New Roman"/>
          <w:color w:val="auto"/>
          <w:sz w:val="28"/>
          <w:szCs w:val="28"/>
        </w:rPr>
        <w:t xml:space="preserve"> 2 к Программе изложить в следующей редакции:</w:t>
      </w:r>
    </w:p>
    <w:tbl>
      <w:tblPr>
        <w:tblW w:w="96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7517"/>
      </w:tblGrid>
      <w:tr w:rsidR="004B7576" w:rsidRPr="004B7576" w:rsidTr="00076193">
        <w:trPr>
          <w:cantSplit/>
          <w:trHeight w:val="530"/>
        </w:trPr>
        <w:tc>
          <w:tcPr>
            <w:tcW w:w="2170" w:type="dxa"/>
            <w:shd w:val="clear" w:color="auto" w:fill="auto"/>
          </w:tcPr>
          <w:p w:rsidR="004B7576" w:rsidRPr="0087574B" w:rsidRDefault="004B7576" w:rsidP="000761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576" w:rsidRPr="0087574B" w:rsidRDefault="004B7576" w:rsidP="000761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574B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4B7576" w:rsidRPr="0087574B" w:rsidRDefault="004B7576" w:rsidP="000761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7574B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7517" w:type="dxa"/>
            <w:shd w:val="clear" w:color="auto" w:fill="auto"/>
          </w:tcPr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>объем финансового обеспечения Подпрограммы за счет средств бюджета Ипатовского городского округа Ставропольского края составит 1172,2 тыс. рублей, в том числе по годам: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>в 2021 году – 140,40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 xml:space="preserve">в 2022 году – 360,55 тыс. рублей; 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>в 2023 году – 133,05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>в 2024 году – 179,40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>в 2025 году – 179,40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>в 2026 году – 179,40 тыс. рублей.».</w:t>
            </w:r>
          </w:p>
        </w:tc>
      </w:tr>
    </w:tbl>
    <w:p w:rsidR="004B7576" w:rsidRPr="0087574B" w:rsidRDefault="004B7576" w:rsidP="004B7576">
      <w:pPr>
        <w:pStyle w:val="af8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74B">
        <w:rPr>
          <w:rFonts w:ascii="Times New Roman" w:hAnsi="Times New Roman" w:cs="Times New Roman"/>
          <w:color w:val="auto"/>
          <w:sz w:val="28"/>
          <w:szCs w:val="28"/>
        </w:rPr>
        <w:t xml:space="preserve">3. Позицию «Объемы и источники финансового обеспечения Подпрограммы» паспорта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городского округа Ставропольского края» муниципальной </w:t>
      </w:r>
      <w:proofErr w:type="spellStart"/>
      <w:r w:rsidRPr="0087574B">
        <w:rPr>
          <w:rFonts w:ascii="Times New Roman" w:hAnsi="Times New Roman" w:cs="Times New Roman"/>
          <w:color w:val="auto"/>
          <w:sz w:val="28"/>
          <w:szCs w:val="28"/>
        </w:rPr>
        <w:t>программы«Межнациональные</w:t>
      </w:r>
      <w:proofErr w:type="spellEnd"/>
      <w:r w:rsidRPr="0087574B">
        <w:rPr>
          <w:rFonts w:ascii="Times New Roman" w:hAnsi="Times New Roman" w:cs="Times New Roman"/>
          <w:color w:val="auto"/>
          <w:sz w:val="28"/>
          <w:szCs w:val="28"/>
        </w:rPr>
        <w:t xml:space="preserve"> отношения, поддержка казачества, профилактика правонарушений и терроризма в Ипатовском городском округе Ставропольского </w:t>
      </w:r>
      <w:proofErr w:type="spellStart"/>
      <w:r w:rsidRPr="0087574B">
        <w:rPr>
          <w:rFonts w:ascii="Times New Roman" w:hAnsi="Times New Roman" w:cs="Times New Roman"/>
          <w:color w:val="auto"/>
          <w:sz w:val="28"/>
          <w:szCs w:val="28"/>
        </w:rPr>
        <w:t>края»приложения</w:t>
      </w:r>
      <w:proofErr w:type="spellEnd"/>
      <w:r w:rsidRPr="0087574B">
        <w:rPr>
          <w:rFonts w:ascii="Times New Roman" w:hAnsi="Times New Roman" w:cs="Times New Roman"/>
          <w:color w:val="auto"/>
          <w:sz w:val="28"/>
          <w:szCs w:val="28"/>
        </w:rPr>
        <w:t xml:space="preserve"> 3 к Программе изложить в следующей редакции: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4B7576" w:rsidRPr="004B7576" w:rsidTr="00076193">
        <w:tc>
          <w:tcPr>
            <w:tcW w:w="3261" w:type="dxa"/>
            <w:shd w:val="clear" w:color="auto" w:fill="auto"/>
          </w:tcPr>
          <w:p w:rsidR="004B7576" w:rsidRPr="004B7576" w:rsidRDefault="004B7576" w:rsidP="00076193">
            <w:pPr>
              <w:rPr>
                <w:szCs w:val="28"/>
                <w:lang w:val="ru-RU"/>
              </w:rPr>
            </w:pPr>
            <w:r w:rsidRPr="004B7576">
              <w:rPr>
                <w:szCs w:val="28"/>
                <w:lang w:val="ru-RU"/>
              </w:rPr>
              <w:t xml:space="preserve">«Объемы и </w:t>
            </w:r>
          </w:p>
          <w:p w:rsidR="004B7576" w:rsidRPr="004B7576" w:rsidRDefault="004B7576" w:rsidP="00076193">
            <w:pPr>
              <w:rPr>
                <w:szCs w:val="28"/>
                <w:lang w:val="ru-RU"/>
              </w:rPr>
            </w:pPr>
            <w:r w:rsidRPr="004B7576">
              <w:rPr>
                <w:szCs w:val="28"/>
                <w:lang w:val="ru-RU"/>
              </w:rPr>
              <w:t xml:space="preserve">источники </w:t>
            </w:r>
          </w:p>
          <w:p w:rsidR="004B7576" w:rsidRPr="004B7576" w:rsidRDefault="004B7576" w:rsidP="00076193">
            <w:pPr>
              <w:rPr>
                <w:szCs w:val="28"/>
                <w:lang w:val="ru-RU"/>
              </w:rPr>
            </w:pPr>
            <w:r w:rsidRPr="004B7576">
              <w:rPr>
                <w:szCs w:val="28"/>
                <w:lang w:val="ru-RU"/>
              </w:rPr>
              <w:t xml:space="preserve">финансового </w:t>
            </w:r>
          </w:p>
          <w:p w:rsidR="004B7576" w:rsidRPr="004B7576" w:rsidRDefault="004B7576" w:rsidP="00076193">
            <w:pPr>
              <w:rPr>
                <w:szCs w:val="28"/>
                <w:lang w:val="ru-RU"/>
              </w:rPr>
            </w:pPr>
            <w:r w:rsidRPr="004B7576">
              <w:rPr>
                <w:szCs w:val="28"/>
                <w:lang w:val="ru-RU"/>
              </w:rPr>
              <w:t xml:space="preserve">обеспечения </w:t>
            </w:r>
          </w:p>
          <w:p w:rsidR="004B7576" w:rsidRPr="004B7576" w:rsidRDefault="004B7576" w:rsidP="00076193">
            <w:pPr>
              <w:rPr>
                <w:lang w:val="ru-RU"/>
              </w:rPr>
            </w:pPr>
            <w:r w:rsidRPr="004B7576">
              <w:rPr>
                <w:szCs w:val="28"/>
                <w:lang w:val="ru-RU"/>
              </w:rPr>
              <w:t>Подпрограммы</w:t>
            </w:r>
          </w:p>
        </w:tc>
        <w:tc>
          <w:tcPr>
            <w:tcW w:w="6237" w:type="dxa"/>
            <w:shd w:val="clear" w:color="auto" w:fill="auto"/>
          </w:tcPr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>объем финансового обеспечения Подпрограммы составит 36342,40тыс. рублей, в том числе по источникам финансового обеспечения: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 xml:space="preserve">бюджет Ипатовского городского округа Ставропольского края – </w:t>
            </w:r>
            <w:r w:rsidRPr="004B7576">
              <w:rPr>
                <w:bCs/>
                <w:lang w:val="ru-RU"/>
              </w:rPr>
              <w:t>29265,12</w:t>
            </w:r>
            <w:r w:rsidRPr="004B7576">
              <w:rPr>
                <w:bCs/>
                <w:szCs w:val="28"/>
                <w:lang w:val="ru-RU"/>
              </w:rPr>
              <w:t>тыс. рублей, в том числе по годам: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lastRenderedPageBreak/>
              <w:t>в 2021 году – 4719,77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 xml:space="preserve">в 2022 году – </w:t>
            </w:r>
            <w:r w:rsidRPr="004B7576">
              <w:rPr>
                <w:szCs w:val="28"/>
                <w:lang w:val="ru-RU"/>
              </w:rPr>
              <w:t xml:space="preserve">6475,17 </w:t>
            </w:r>
            <w:r w:rsidRPr="004B7576">
              <w:rPr>
                <w:bCs/>
                <w:szCs w:val="28"/>
                <w:lang w:val="ru-RU"/>
              </w:rPr>
              <w:t xml:space="preserve">тыс. рублей; 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 xml:space="preserve">в 2023 году – </w:t>
            </w:r>
            <w:r w:rsidRPr="004B7576">
              <w:rPr>
                <w:szCs w:val="28"/>
                <w:lang w:val="ru-RU"/>
              </w:rPr>
              <w:t>7975,90</w:t>
            </w:r>
            <w:r w:rsidRPr="004B7576">
              <w:rPr>
                <w:bCs/>
                <w:szCs w:val="28"/>
                <w:lang w:val="ru-RU"/>
              </w:rPr>
              <w:t>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 xml:space="preserve">в 2024 году – </w:t>
            </w:r>
            <w:r w:rsidRPr="004B7576">
              <w:rPr>
                <w:szCs w:val="28"/>
                <w:lang w:val="ru-RU"/>
              </w:rPr>
              <w:t>3364,76</w:t>
            </w:r>
            <w:r w:rsidRPr="004B7576">
              <w:rPr>
                <w:bCs/>
                <w:szCs w:val="28"/>
                <w:lang w:val="ru-RU"/>
              </w:rPr>
              <w:t>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 xml:space="preserve">в 2025 году – </w:t>
            </w:r>
            <w:r w:rsidRPr="004B7576">
              <w:rPr>
                <w:szCs w:val="28"/>
                <w:lang w:val="ru-RU"/>
              </w:rPr>
              <w:t>3364,76</w:t>
            </w:r>
            <w:r w:rsidRPr="004B7576">
              <w:rPr>
                <w:bCs/>
                <w:szCs w:val="28"/>
                <w:lang w:val="ru-RU"/>
              </w:rPr>
              <w:t>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  <w:r w:rsidRPr="004B7576">
              <w:rPr>
                <w:bCs/>
                <w:szCs w:val="28"/>
                <w:lang w:val="ru-RU"/>
              </w:rPr>
              <w:t xml:space="preserve">в 2026 году – </w:t>
            </w:r>
            <w:r w:rsidRPr="004B7576">
              <w:rPr>
                <w:szCs w:val="28"/>
                <w:lang w:val="ru-RU"/>
              </w:rPr>
              <w:t>3364,76</w:t>
            </w:r>
            <w:r w:rsidRPr="004B7576">
              <w:rPr>
                <w:bCs/>
                <w:szCs w:val="28"/>
                <w:lang w:val="ru-RU"/>
              </w:rPr>
              <w:t>тыс. рублей.</w:t>
            </w:r>
          </w:p>
          <w:p w:rsidR="004B7576" w:rsidRPr="004B7576" w:rsidRDefault="004B7576" w:rsidP="00076193">
            <w:pPr>
              <w:pStyle w:val="af3"/>
              <w:rPr>
                <w:bCs/>
                <w:szCs w:val="28"/>
                <w:lang w:val="ru-RU"/>
              </w:rPr>
            </w:pP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бюджет Ставропольского края – 7077,28 тыс. рублей, в том числе по годам: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2021 году – 3413,64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 xml:space="preserve">в 2022 году – 3263,64 тыс. рублей; 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2023 году – 100,00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2024 году – 100,00 тыс. рублей;</w:t>
            </w:r>
          </w:p>
          <w:p w:rsidR="004B7576" w:rsidRPr="004B7576" w:rsidRDefault="004B7576" w:rsidP="00076193">
            <w:pPr>
              <w:pStyle w:val="af3"/>
              <w:rPr>
                <w:bCs/>
                <w:lang w:val="ru-RU"/>
              </w:rPr>
            </w:pPr>
            <w:r w:rsidRPr="004B7576">
              <w:rPr>
                <w:bCs/>
                <w:lang w:val="ru-RU"/>
              </w:rPr>
              <w:t>в 2025 году – 100,00 тыс. рублей;</w:t>
            </w:r>
          </w:p>
          <w:p w:rsidR="004B7576" w:rsidRPr="004B7576" w:rsidRDefault="004B7576" w:rsidP="00076193">
            <w:pPr>
              <w:pStyle w:val="af3"/>
              <w:rPr>
                <w:lang w:val="ru-RU"/>
              </w:rPr>
            </w:pPr>
            <w:r w:rsidRPr="004B7576">
              <w:rPr>
                <w:bCs/>
                <w:lang w:val="ru-RU"/>
              </w:rPr>
              <w:t>в 2026 году – 100,00 тыс. рублей</w:t>
            </w:r>
            <w:r w:rsidRPr="004B7576">
              <w:rPr>
                <w:bCs/>
                <w:szCs w:val="28"/>
                <w:lang w:val="ru-RU"/>
              </w:rPr>
              <w:t>.</w:t>
            </w:r>
            <w:r w:rsidRPr="004B7576">
              <w:rPr>
                <w:lang w:val="ru-RU"/>
              </w:rPr>
              <w:t>».</w:t>
            </w:r>
          </w:p>
        </w:tc>
      </w:tr>
    </w:tbl>
    <w:p w:rsidR="004B7576" w:rsidRPr="00BA7420" w:rsidRDefault="004B7576" w:rsidP="004B7576">
      <w:pPr>
        <w:pStyle w:val="ConsPlusTitle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4</w:t>
      </w:r>
      <w:r w:rsidRPr="0046765D">
        <w:rPr>
          <w:rFonts w:ascii="Times New Roman" w:hAnsi="Times New Roman" w:cs="Times New Roman"/>
          <w:b w:val="0"/>
          <w:color w:val="000000"/>
          <w:sz w:val="28"/>
          <w:szCs w:val="28"/>
        </w:rPr>
        <w:t>. Приложение 6 к Программе «</w:t>
      </w:r>
      <w:r w:rsidRPr="004676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Объемы и </w:t>
      </w:r>
      <w:proofErr w:type="spellStart"/>
      <w:r w:rsidRPr="004676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источникифинансового</w:t>
      </w:r>
      <w:proofErr w:type="spellEnd"/>
      <w:r w:rsidRPr="004676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обеспечения муниципальной программы «</w:t>
      </w:r>
      <w:r w:rsidRPr="004676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Межнациональные отношения, поддержка казачества, профилактика правонарушений и терроризма в Ипатовском городском округе Ставропольского края» </w:t>
      </w:r>
      <w:r w:rsidRPr="0046765D">
        <w:rPr>
          <w:rFonts w:ascii="Times New Roman" w:hAnsi="Times New Roman"/>
          <w:b w:val="0"/>
          <w:color w:val="000000"/>
          <w:sz w:val="28"/>
          <w:szCs w:val="28"/>
        </w:rPr>
        <w:t xml:space="preserve">изложить 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следующей </w:t>
      </w:r>
      <w:r w:rsidRPr="0046765D">
        <w:rPr>
          <w:rFonts w:ascii="Times New Roman" w:hAnsi="Times New Roman"/>
          <w:b w:val="0"/>
          <w:color w:val="000000"/>
          <w:sz w:val="28"/>
          <w:szCs w:val="28"/>
        </w:rPr>
        <w:t>редакции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4B7576" w:rsidRPr="00937828" w:rsidRDefault="004B7576" w:rsidP="00937828">
      <w:pPr>
        <w:spacing w:line="240" w:lineRule="exact"/>
        <w:rPr>
          <w:color w:val="000000"/>
          <w:szCs w:val="28"/>
          <w:lang w:val="ru-RU"/>
        </w:rPr>
      </w:pPr>
      <w:bookmarkStart w:id="0" w:name="_GoBack"/>
      <w:bookmarkEnd w:id="0"/>
    </w:p>
    <w:sectPr w:rsidR="004B7576" w:rsidRPr="00937828" w:rsidSect="000F1CA8">
      <w:pgSz w:w="11906" w:h="16838"/>
      <w:pgMar w:top="426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284D09"/>
    <w:rsid w:val="000255F5"/>
    <w:rsid w:val="00070919"/>
    <w:rsid w:val="0008170C"/>
    <w:rsid w:val="000A2496"/>
    <w:rsid w:val="000E1A65"/>
    <w:rsid w:val="000F1CA8"/>
    <w:rsid w:val="00103EEA"/>
    <w:rsid w:val="002277FD"/>
    <w:rsid w:val="00262402"/>
    <w:rsid w:val="00284D09"/>
    <w:rsid w:val="0029661D"/>
    <w:rsid w:val="002E0321"/>
    <w:rsid w:val="00362824"/>
    <w:rsid w:val="0038561A"/>
    <w:rsid w:val="003C3354"/>
    <w:rsid w:val="003E428E"/>
    <w:rsid w:val="0041281F"/>
    <w:rsid w:val="004133C9"/>
    <w:rsid w:val="004272DD"/>
    <w:rsid w:val="004519D1"/>
    <w:rsid w:val="0047211D"/>
    <w:rsid w:val="004A34A9"/>
    <w:rsid w:val="004B7576"/>
    <w:rsid w:val="004D0257"/>
    <w:rsid w:val="004D3463"/>
    <w:rsid w:val="004E1FB8"/>
    <w:rsid w:val="004E32BC"/>
    <w:rsid w:val="005335BA"/>
    <w:rsid w:val="005577FC"/>
    <w:rsid w:val="00567F66"/>
    <w:rsid w:val="005B0B44"/>
    <w:rsid w:val="00612246"/>
    <w:rsid w:val="00636FA6"/>
    <w:rsid w:val="00655E6F"/>
    <w:rsid w:val="006651A6"/>
    <w:rsid w:val="006C4BF9"/>
    <w:rsid w:val="006E43C0"/>
    <w:rsid w:val="00784D9E"/>
    <w:rsid w:val="007B2ED5"/>
    <w:rsid w:val="007C5C9A"/>
    <w:rsid w:val="007F0484"/>
    <w:rsid w:val="007F0BED"/>
    <w:rsid w:val="00804184"/>
    <w:rsid w:val="008879C6"/>
    <w:rsid w:val="008A6FBB"/>
    <w:rsid w:val="009013AD"/>
    <w:rsid w:val="00912934"/>
    <w:rsid w:val="00937828"/>
    <w:rsid w:val="00945F21"/>
    <w:rsid w:val="00A01DFB"/>
    <w:rsid w:val="00A751A9"/>
    <w:rsid w:val="00AC52E0"/>
    <w:rsid w:val="00BB7919"/>
    <w:rsid w:val="00BC33C7"/>
    <w:rsid w:val="00C233B1"/>
    <w:rsid w:val="00C6171C"/>
    <w:rsid w:val="00C7175E"/>
    <w:rsid w:val="00C91F8F"/>
    <w:rsid w:val="00CC58CF"/>
    <w:rsid w:val="00E40077"/>
    <w:rsid w:val="00E551C6"/>
    <w:rsid w:val="00E5725A"/>
    <w:rsid w:val="00E95FB2"/>
    <w:rsid w:val="00F104E5"/>
    <w:rsid w:val="00F36B9D"/>
    <w:rsid w:val="00F51086"/>
    <w:rsid w:val="00F53E92"/>
    <w:rsid w:val="00F86E47"/>
    <w:rsid w:val="00FD24C9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340E5"/>
  <w15:docId w15:val="{EADD1D35-ECD7-47EC-8A84-08C53AC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Calibri"/>
      <w:sz w:val="28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Cambria" w:eastAsia="Times New Roman" w:hAnsi="Cambria" w:cs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Cambria" w:eastAsia="Times New Roman" w:hAnsi="Cambria" w:cs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spacing w:before="200" w:after="80"/>
      <w:outlineLvl w:val="2"/>
    </w:pPr>
    <w:rPr>
      <w:rFonts w:ascii="Cambria" w:eastAsia="Times New Roman" w:hAnsi="Cambria" w:cs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pacing w:before="200" w:after="80"/>
      <w:outlineLvl w:val="3"/>
    </w:pPr>
    <w:rPr>
      <w:rFonts w:ascii="Cambria" w:eastAsia="Times New Roman" w:hAnsi="Cambria" w:cs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80"/>
      <w:outlineLvl w:val="4"/>
    </w:pPr>
    <w:rPr>
      <w:rFonts w:ascii="Cambria" w:eastAsia="Times New Roman" w:hAnsi="Cambria" w:cs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80" w:after="100"/>
      <w:outlineLvl w:val="5"/>
    </w:pPr>
    <w:rPr>
      <w:rFonts w:ascii="Cambria" w:eastAsia="Times New Roman" w:hAnsi="Cambria" w:cs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320" w:after="100"/>
      <w:outlineLvl w:val="6"/>
    </w:pPr>
    <w:rPr>
      <w:rFonts w:ascii="Cambria" w:eastAsia="Times New Roman" w:hAnsi="Cambria" w:cs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320" w:after="10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320" w:after="100"/>
      <w:outlineLvl w:val="8"/>
    </w:pPr>
    <w:rPr>
      <w:rFonts w:ascii="Cambria" w:eastAsia="Times New Roman" w:hAnsi="Cambria" w:cs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3">
    <w:name w:val="Название Знак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4">
    <w:name w:val="Подзаголовок Знак"/>
    <w:rPr>
      <w:rFonts w:ascii="Calibri" w:hAnsi="Calibri" w:cs="Calibri"/>
      <w:i/>
      <w:iCs/>
      <w:sz w:val="24"/>
      <w:szCs w:val="24"/>
    </w:rPr>
  </w:style>
  <w:style w:type="character" w:styleId="a5">
    <w:name w:val="Strong"/>
    <w:qFormat/>
    <w:rPr>
      <w:b/>
      <w:bCs/>
      <w:spacing w:val="0"/>
    </w:rPr>
  </w:style>
  <w:style w:type="character" w:styleId="a6">
    <w:name w:val="Emphasis"/>
    <w:qFormat/>
    <w:rPr>
      <w:b/>
      <w:bCs/>
      <w:i/>
      <w:iCs/>
      <w:color w:val="5A5A5A"/>
    </w:rPr>
  </w:style>
  <w:style w:type="character" w:customStyle="1" w:styleId="21">
    <w:name w:val="Цитата 2 Знак"/>
    <w:rPr>
      <w:rFonts w:ascii="Cambria" w:eastAsia="Times New Roman" w:hAnsi="Cambria" w:cs="Times New Roman"/>
      <w:i/>
      <w:iCs/>
      <w:color w:val="5A5A5A"/>
    </w:rPr>
  </w:style>
  <w:style w:type="character" w:customStyle="1" w:styleId="a7">
    <w:name w:val="Выделенная цитата Знак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8">
    <w:name w:val="Subtle Emphasis"/>
    <w:qFormat/>
    <w:rPr>
      <w:i/>
      <w:iCs/>
      <w:color w:val="5A5A5A"/>
    </w:rPr>
  </w:style>
  <w:style w:type="character" w:styleId="a9">
    <w:name w:val="Intense Emphasis"/>
    <w:qFormat/>
    <w:rPr>
      <w:b/>
      <w:bCs/>
      <w:i/>
      <w:iCs/>
      <w:color w:val="4F81BD"/>
      <w:sz w:val="22"/>
      <w:szCs w:val="22"/>
    </w:rPr>
  </w:style>
  <w:style w:type="character" w:styleId="aa">
    <w:name w:val="Subtle Reference"/>
    <w:qFormat/>
    <w:rPr>
      <w:color w:val="auto"/>
      <w:u w:val="single" w:color="9BBB59"/>
    </w:rPr>
  </w:style>
  <w:style w:type="character" w:styleId="ab">
    <w:name w:val="Intense Reference"/>
    <w:qFormat/>
    <w:rPr>
      <w:b/>
      <w:bCs/>
      <w:color w:val="76923C"/>
      <w:u w:val="single" w:color="9BBB59"/>
    </w:rPr>
  </w:style>
  <w:style w:type="character" w:styleId="ac">
    <w:name w:val="Book Title"/>
    <w:qFormat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d">
    <w:name w:val="Без интервала Знак"/>
    <w:basedOn w:val="10"/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eastAsia="Times New Roman" w:hAnsi="Cambria" w:cs="Cambria"/>
      <w:i/>
      <w:iCs/>
      <w:color w:val="243F60"/>
      <w:sz w:val="60"/>
      <w:szCs w:val="60"/>
      <w:lang w:bidi="ar-SA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2">
    <w:name w:val="Subtitle"/>
    <w:basedOn w:val="a"/>
    <w:next w:val="a"/>
    <w:qFormat/>
    <w:pPr>
      <w:spacing w:before="200" w:after="900"/>
      <w:jc w:val="right"/>
    </w:pPr>
    <w:rPr>
      <w:rFonts w:ascii="Calibri" w:hAnsi="Calibri" w:cs="Calibri"/>
      <w:i/>
      <w:iCs/>
      <w:sz w:val="24"/>
      <w:szCs w:val="24"/>
      <w:lang w:bidi="ar-SA"/>
    </w:rPr>
  </w:style>
  <w:style w:type="paragraph" w:styleId="af3">
    <w:name w:val="No Spacing"/>
    <w:basedOn w:val="a"/>
    <w:qFormat/>
  </w:style>
  <w:style w:type="paragraph" w:styleId="af4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rFonts w:ascii="Cambria" w:eastAsia="Times New Roman" w:hAnsi="Cambria" w:cs="Cambria"/>
      <w:i/>
      <w:iCs/>
      <w:color w:val="5A5A5A"/>
      <w:sz w:val="20"/>
      <w:szCs w:val="20"/>
      <w:lang w:bidi="ar-SA"/>
    </w:rPr>
  </w:style>
  <w:style w:type="paragraph" w:styleId="af5">
    <w:name w:val="Intense Quote"/>
    <w:basedOn w:val="a"/>
    <w:next w:val="a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  <w:lang w:bidi="ar-SA"/>
    </w:rPr>
  </w:style>
  <w:style w:type="paragraph" w:styleId="af6">
    <w:name w:val="toa heading"/>
    <w:basedOn w:val="1"/>
    <w:next w:val="a"/>
    <w:pPr>
      <w:numPr>
        <w:numId w:val="0"/>
      </w:numPr>
    </w:pPr>
  </w:style>
  <w:style w:type="paragraph" w:customStyle="1" w:styleId="14">
    <w:name w:val="Название объекта1"/>
    <w:basedOn w:val="a"/>
    <w:next w:val="a"/>
    <w:rPr>
      <w:b/>
      <w:bCs/>
      <w:sz w:val="18"/>
      <w:szCs w:val="18"/>
    </w:rPr>
  </w:style>
  <w:style w:type="paragraph" w:styleId="af7">
    <w:name w:val="Balloon Text"/>
    <w:basedOn w:val="a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6E43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B757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8">
    <w:name w:val="Normal (Web)"/>
    <w:basedOn w:val="a"/>
    <w:rsid w:val="004B7576"/>
    <w:pPr>
      <w:spacing w:before="26" w:after="26"/>
      <w:jc w:val="left"/>
    </w:pPr>
    <w:rPr>
      <w:rFonts w:ascii="Arial" w:eastAsia="Times New Roman" w:hAnsi="Arial" w:cs="Arial"/>
      <w:color w:val="332E2D"/>
      <w:spacing w:val="2"/>
      <w:sz w:val="24"/>
      <w:szCs w:val="24"/>
      <w:lang w:val="ru-RU" w:bidi="ar-SA"/>
    </w:rPr>
  </w:style>
  <w:style w:type="paragraph" w:customStyle="1" w:styleId="ConsPlusCell">
    <w:name w:val="ConsPlusCell"/>
    <w:next w:val="a"/>
    <w:rsid w:val="004B7576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</cp:lastModifiedBy>
  <cp:revision>3</cp:revision>
  <cp:lastPrinted>2022-12-29T05:43:00Z</cp:lastPrinted>
  <dcterms:created xsi:type="dcterms:W3CDTF">2023-12-15T10:26:00Z</dcterms:created>
  <dcterms:modified xsi:type="dcterms:W3CDTF">2023-12-19T05:27:00Z</dcterms:modified>
</cp:coreProperties>
</file>